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F73" w:rsidRPr="00551F0B" w:rsidRDefault="00CE6F73" w:rsidP="00CE6F73">
      <w:pPr>
        <w:ind w:left="5812" w:right="33" w:firstLine="0"/>
        <w:jc w:val="both"/>
        <w:rPr>
          <w:i/>
          <w:szCs w:val="28"/>
        </w:rPr>
      </w:pPr>
      <w:r w:rsidRPr="00551F0B">
        <w:rPr>
          <w:i/>
          <w:szCs w:val="28"/>
        </w:rPr>
        <w:t xml:space="preserve">Материалы </w:t>
      </w:r>
    </w:p>
    <w:p w:rsidR="00CE6F73" w:rsidRPr="00551F0B" w:rsidRDefault="00CE6F73" w:rsidP="00CE6F73">
      <w:pPr>
        <w:ind w:left="5812" w:right="33" w:firstLine="0"/>
        <w:jc w:val="both"/>
        <w:rPr>
          <w:i/>
          <w:szCs w:val="28"/>
        </w:rPr>
      </w:pPr>
      <w:r w:rsidRPr="00551F0B">
        <w:rPr>
          <w:i/>
          <w:szCs w:val="28"/>
        </w:rPr>
        <w:t xml:space="preserve">Постоянной комиссии </w:t>
      </w:r>
    </w:p>
    <w:p w:rsidR="00CE6F73" w:rsidRPr="00551F0B" w:rsidRDefault="00CE6F73" w:rsidP="00CE6F73">
      <w:pPr>
        <w:ind w:left="5812" w:right="33" w:firstLine="0"/>
        <w:jc w:val="both"/>
        <w:rPr>
          <w:i/>
          <w:szCs w:val="28"/>
        </w:rPr>
      </w:pPr>
      <w:r w:rsidRPr="00551F0B">
        <w:rPr>
          <w:i/>
          <w:szCs w:val="28"/>
        </w:rPr>
        <w:t>Генерального Совета ФНПР</w:t>
      </w:r>
    </w:p>
    <w:p w:rsidR="00CE6F73" w:rsidRPr="00551F0B" w:rsidRDefault="00CE6F73" w:rsidP="00CE6F73">
      <w:pPr>
        <w:ind w:left="5812" w:right="33" w:firstLine="0"/>
        <w:jc w:val="both"/>
        <w:rPr>
          <w:i/>
          <w:szCs w:val="28"/>
        </w:rPr>
      </w:pPr>
      <w:r w:rsidRPr="00551F0B">
        <w:rPr>
          <w:i/>
          <w:szCs w:val="28"/>
        </w:rPr>
        <w:t>по социальным гарантиям</w:t>
      </w:r>
    </w:p>
    <w:p w:rsidR="00CE6F73" w:rsidRPr="00551F0B" w:rsidRDefault="00CE6F73" w:rsidP="00CE6F73">
      <w:pPr>
        <w:ind w:left="5812" w:right="33" w:firstLine="0"/>
        <w:jc w:val="both"/>
        <w:rPr>
          <w:i/>
          <w:szCs w:val="28"/>
        </w:rPr>
      </w:pPr>
      <w:r w:rsidRPr="00551F0B">
        <w:rPr>
          <w:i/>
          <w:szCs w:val="28"/>
        </w:rPr>
        <w:t>19 мая 2026 года</w:t>
      </w:r>
    </w:p>
    <w:p w:rsidR="00CE6F73" w:rsidRPr="00551F0B" w:rsidRDefault="00CE6F73" w:rsidP="00CE6F73">
      <w:pPr>
        <w:ind w:right="-1" w:firstLine="0"/>
        <w:jc w:val="right"/>
        <w:rPr>
          <w:szCs w:val="28"/>
        </w:rPr>
      </w:pPr>
    </w:p>
    <w:p w:rsidR="00CE6F73" w:rsidRPr="00551F0B" w:rsidRDefault="00CE6F73" w:rsidP="00CE6F73">
      <w:pPr>
        <w:ind w:right="-1" w:firstLine="0"/>
        <w:jc w:val="center"/>
        <w:rPr>
          <w:b/>
          <w:szCs w:val="28"/>
        </w:rPr>
      </w:pPr>
      <w:r w:rsidRPr="00551F0B">
        <w:rPr>
          <w:b/>
          <w:szCs w:val="28"/>
        </w:rPr>
        <w:t>ИНФОРМАЦИЯ</w:t>
      </w:r>
    </w:p>
    <w:p w:rsidR="00CE6F73" w:rsidRPr="00551F0B" w:rsidRDefault="00CE6F73" w:rsidP="00CE6F73">
      <w:pPr>
        <w:ind w:firstLine="0"/>
        <w:jc w:val="both"/>
        <w:rPr>
          <w:szCs w:val="28"/>
        </w:rPr>
      </w:pPr>
    </w:p>
    <w:p w:rsidR="00551F0B" w:rsidRPr="00551F0B" w:rsidRDefault="00551F0B" w:rsidP="00551F0B">
      <w:pPr>
        <w:jc w:val="center"/>
        <w:rPr>
          <w:b/>
          <w:szCs w:val="28"/>
        </w:rPr>
      </w:pPr>
      <w:r>
        <w:rPr>
          <w:b/>
          <w:szCs w:val="28"/>
        </w:rPr>
        <w:t>о</w:t>
      </w:r>
      <w:r w:rsidRPr="00551F0B">
        <w:rPr>
          <w:b/>
          <w:szCs w:val="28"/>
        </w:rPr>
        <w:t>б итогах круглого стола «Профилактика и укрепление здоровья работающих»</w:t>
      </w:r>
    </w:p>
    <w:p w:rsidR="00551F0B" w:rsidRPr="00551F0B" w:rsidRDefault="00551F0B" w:rsidP="00551F0B">
      <w:pPr>
        <w:jc w:val="both"/>
        <w:rPr>
          <w:szCs w:val="28"/>
        </w:rPr>
      </w:pPr>
    </w:p>
    <w:p w:rsidR="00551F0B" w:rsidRPr="00551F0B" w:rsidRDefault="00551F0B" w:rsidP="00551F0B">
      <w:pPr>
        <w:jc w:val="both"/>
        <w:rPr>
          <w:szCs w:val="28"/>
        </w:rPr>
      </w:pPr>
      <w:r w:rsidRPr="00551F0B">
        <w:rPr>
          <w:szCs w:val="28"/>
        </w:rPr>
        <w:t xml:space="preserve">13 мая 2026 года в </w:t>
      </w:r>
      <w:proofErr w:type="gramStart"/>
      <w:r w:rsidRPr="00551F0B">
        <w:rPr>
          <w:szCs w:val="28"/>
        </w:rPr>
        <w:t>г</w:t>
      </w:r>
      <w:proofErr w:type="gramEnd"/>
      <w:r w:rsidRPr="00551F0B">
        <w:rPr>
          <w:szCs w:val="28"/>
        </w:rPr>
        <w:t>. Москве в выставочном комплексе «Гостиный Двор» в рамках XXI Всероссийского форума «Здоровье нации – основа процветания России» Федерация Независимых Профсоюзов России провела круглый стол на тему «Профилактика и укрепление здоровья работающих».</w:t>
      </w:r>
    </w:p>
    <w:p w:rsidR="00551F0B" w:rsidRPr="00551F0B" w:rsidRDefault="00551F0B" w:rsidP="00551F0B">
      <w:pPr>
        <w:jc w:val="both"/>
        <w:rPr>
          <w:szCs w:val="28"/>
        </w:rPr>
      </w:pPr>
      <w:r w:rsidRPr="00551F0B">
        <w:rPr>
          <w:szCs w:val="28"/>
        </w:rPr>
        <w:t xml:space="preserve">Мероприятие собрало представителей общероссийских                                      и территориальных объединений организаций профсоюзов, научного сообщества, органов власти и экспертов в области охраны труда и здоровья работающего населения. В их числе: заместитель Председателя Социального Фонда России Сидорова Н.С.; академики Российской Академии Наук – </w:t>
      </w:r>
      <w:proofErr w:type="spellStart"/>
      <w:r w:rsidRPr="00551F0B">
        <w:rPr>
          <w:szCs w:val="28"/>
        </w:rPr>
        <w:t>Бухтияров</w:t>
      </w:r>
      <w:proofErr w:type="spellEnd"/>
      <w:r w:rsidRPr="00551F0B">
        <w:rPr>
          <w:szCs w:val="28"/>
        </w:rPr>
        <w:t xml:space="preserve"> И.В., Разумов А.Н., доктор медицинских наук и профессор – Горохова С.Г. и другие.</w:t>
      </w:r>
    </w:p>
    <w:p w:rsidR="00551F0B" w:rsidRPr="00551F0B" w:rsidRDefault="00551F0B" w:rsidP="00551F0B">
      <w:pPr>
        <w:jc w:val="both"/>
        <w:rPr>
          <w:szCs w:val="28"/>
        </w:rPr>
      </w:pPr>
      <w:r w:rsidRPr="00551F0B">
        <w:rPr>
          <w:szCs w:val="28"/>
        </w:rPr>
        <w:t>В ходе мероприятия были обсуждены актуальные вопросы сохранения здоровья и снижения заболеваемости работающего населения, профилактики общих, производственно-обусловленных и профессиональных заболеваний,                  а также современных подходов к организации медицинского обслуживания                  и реабилитации на производстве.</w:t>
      </w:r>
    </w:p>
    <w:p w:rsidR="00551F0B" w:rsidRPr="00551F0B" w:rsidRDefault="00551F0B" w:rsidP="00551F0B">
      <w:pPr>
        <w:jc w:val="both"/>
        <w:rPr>
          <w:szCs w:val="28"/>
        </w:rPr>
      </w:pPr>
      <w:r w:rsidRPr="00551F0B">
        <w:rPr>
          <w:szCs w:val="28"/>
        </w:rPr>
        <w:t>Участники круглого стола подчеркнули, что текущие экономические потери от временной нетрудоспособности работающего населения остаются высокими. В связи с этим выполнение поручения Правительства Российской Федерации по снижению к 2030 году суммарной продолжительности временной нетрудоспособности граждан на 15% является приоритетной совместной задачей.</w:t>
      </w:r>
    </w:p>
    <w:p w:rsidR="00551F0B" w:rsidRPr="00551F0B" w:rsidRDefault="00551F0B" w:rsidP="00551F0B">
      <w:pPr>
        <w:jc w:val="both"/>
        <w:rPr>
          <w:szCs w:val="28"/>
        </w:rPr>
      </w:pPr>
      <w:r w:rsidRPr="00551F0B">
        <w:rPr>
          <w:szCs w:val="28"/>
        </w:rPr>
        <w:t>Существующая модель здравоохранения ориентирована на лечение заболеваний по факту их появления. Необходим переход к широкому общественно-государственному подходу и системному развитию профилактического направления, консолидации усилий профсоюзов, работодателей и органов власти для эффективной реализации мер по сохранению здоровья трудящихся.</w:t>
      </w:r>
    </w:p>
    <w:p w:rsidR="00551F0B" w:rsidRPr="00551F0B" w:rsidRDefault="00551F0B" w:rsidP="00551F0B">
      <w:pPr>
        <w:jc w:val="both"/>
        <w:rPr>
          <w:szCs w:val="28"/>
        </w:rPr>
      </w:pPr>
      <w:r w:rsidRPr="00551F0B">
        <w:rPr>
          <w:szCs w:val="28"/>
        </w:rPr>
        <w:t xml:space="preserve">Основой этой работы является развитие профилактической модели здравоохранения в производственной сфере – модели, которая на базе анализа заболеваемости и современных медицинских технологий позволит совместно с работодателями формировать системные меры по сохранению здоровья и трудового потенциала работников. </w:t>
      </w:r>
    </w:p>
    <w:p w:rsidR="00551F0B" w:rsidRPr="00551F0B" w:rsidRDefault="00551F0B" w:rsidP="00551F0B">
      <w:pPr>
        <w:jc w:val="both"/>
        <w:rPr>
          <w:szCs w:val="28"/>
        </w:rPr>
      </w:pPr>
      <w:r w:rsidRPr="00551F0B">
        <w:rPr>
          <w:szCs w:val="28"/>
        </w:rPr>
        <w:lastRenderedPageBreak/>
        <w:t>Имеющийся опыт показывает, что комплексный подход – развитие здравоохранения, восстановление производственной медицины, усиление профилактики и повышение ответственности всех участников – позволяет достигать определенных результатов по снижению заболеваемости, сокращает экономические потери и существенно повышает ресурс работников.</w:t>
      </w:r>
    </w:p>
    <w:p w:rsidR="00551F0B" w:rsidRPr="00551F0B" w:rsidRDefault="00551F0B" w:rsidP="00551F0B">
      <w:pPr>
        <w:jc w:val="both"/>
        <w:rPr>
          <w:szCs w:val="28"/>
        </w:rPr>
      </w:pPr>
      <w:r w:rsidRPr="00551F0B">
        <w:rPr>
          <w:szCs w:val="28"/>
        </w:rPr>
        <w:t>По итогам круглого стола принят Итоговый документ, который был направлен в адрес Правительства Российской Федерации. Документ является практическим руководством к действию для всех социальных партнеров.</w:t>
      </w:r>
    </w:p>
    <w:p w:rsidR="00551F0B" w:rsidRPr="00551F0B" w:rsidRDefault="00551F0B" w:rsidP="00551F0B">
      <w:pPr>
        <w:jc w:val="both"/>
        <w:rPr>
          <w:szCs w:val="28"/>
        </w:rPr>
      </w:pPr>
      <w:r w:rsidRPr="00551F0B">
        <w:rPr>
          <w:szCs w:val="28"/>
        </w:rPr>
        <w:t>Среди практических мер, обозначенных в документе: восстановление и развитие инфраструктуры медицинского обслуживания работников на предприятиях, развитие современного института цеховых врачей и врачей производственной медицины, внедрение современных медицинских технологий раннего выявления производственно-обусловленных заболеваний, а также расширение корпоративных программ общественного здоровья. Особое внимание предлагается уделить повышению качества проведения диспансеризации работников, восстановлению системной работы по обеспечению работников и членов их семей профилактическим, санаторно-курортным лечением и оздоровительным отдыхом, а также созданию благоприятных условий труда и быта на предприятиях.</w:t>
      </w:r>
    </w:p>
    <w:p w:rsidR="00551F0B" w:rsidRPr="00551F0B" w:rsidRDefault="00551F0B" w:rsidP="00551F0B">
      <w:pPr>
        <w:jc w:val="both"/>
        <w:rPr>
          <w:szCs w:val="28"/>
        </w:rPr>
      </w:pPr>
      <w:r w:rsidRPr="00551F0B">
        <w:rPr>
          <w:szCs w:val="28"/>
        </w:rPr>
        <w:t xml:space="preserve">Сегодня в распоряжении профсоюзов уже имеются необходимые механизмы, инструменты и правовые основания для профилактики и укрепления здоровья </w:t>
      </w:r>
      <w:proofErr w:type="gramStart"/>
      <w:r w:rsidRPr="00551F0B">
        <w:rPr>
          <w:szCs w:val="28"/>
        </w:rPr>
        <w:t>работающих</w:t>
      </w:r>
      <w:proofErr w:type="gramEnd"/>
      <w:r w:rsidRPr="00551F0B">
        <w:rPr>
          <w:szCs w:val="28"/>
        </w:rPr>
        <w:t>. Дело остается за главным - активно включать их в повседневную работу, самостоятельно определять приоритеты именно на своих предприятиях. У каждого трудового коллектива будут свои приоритеты, и эти приоритеты необходимо видеть, анализировать и превращать в конкретные планы действий. Важно всегда помнить: если мы сами не возьмемся за эту работу системно и ответственно, за нас ее никто делать не будет. Поэтому нужно брать посильные, реальные задачи и последовательно их решать, добиваясь конкретных результатов на каждом предприятии.</w:t>
      </w:r>
    </w:p>
    <w:p w:rsidR="00551F0B" w:rsidRPr="00551F0B" w:rsidRDefault="00551F0B" w:rsidP="00551F0B">
      <w:pPr>
        <w:jc w:val="both"/>
        <w:rPr>
          <w:szCs w:val="28"/>
        </w:rPr>
      </w:pPr>
      <w:r w:rsidRPr="00551F0B">
        <w:rPr>
          <w:szCs w:val="28"/>
        </w:rPr>
        <w:t>В рамках XXI Всероссийского форума «Здоровье нации – основа процветания России» ФНПР также представила свою выставочную экспозицию, посвященную деятельности профсоюзов России по сохранению здоровья и снижению заболеваемости работающего населения страны.</w:t>
      </w:r>
    </w:p>
    <w:p w:rsidR="00551F0B" w:rsidRPr="00551F0B" w:rsidRDefault="00551F0B" w:rsidP="00551F0B">
      <w:pPr>
        <w:jc w:val="both"/>
        <w:rPr>
          <w:szCs w:val="28"/>
        </w:rPr>
      </w:pPr>
      <w:r w:rsidRPr="00551F0B">
        <w:rPr>
          <w:szCs w:val="28"/>
        </w:rPr>
        <w:t>Экспозиция содержала актуальную информацию о санаторно‑курортном лечении членов профсоюзов, о достигнутых результатах в сфере детского отдыха и оздоровления в России.</w:t>
      </w:r>
    </w:p>
    <w:p w:rsidR="00F062B8" w:rsidRDefault="00551F0B" w:rsidP="00551F0B">
      <w:pPr>
        <w:jc w:val="both"/>
        <w:rPr>
          <w:szCs w:val="28"/>
        </w:rPr>
      </w:pPr>
      <w:r w:rsidRPr="00551F0B">
        <w:rPr>
          <w:szCs w:val="28"/>
        </w:rPr>
        <w:t>Приложение: на 2 л.</w:t>
      </w:r>
    </w:p>
    <w:p w:rsidR="00817537" w:rsidRDefault="00817537" w:rsidP="00551F0B">
      <w:pPr>
        <w:jc w:val="both"/>
        <w:rPr>
          <w:szCs w:val="28"/>
        </w:rPr>
      </w:pPr>
    </w:p>
    <w:p w:rsidR="00817537" w:rsidRDefault="00817537" w:rsidP="00551F0B">
      <w:pPr>
        <w:jc w:val="both"/>
        <w:rPr>
          <w:szCs w:val="28"/>
        </w:rPr>
      </w:pPr>
    </w:p>
    <w:p w:rsidR="00817537" w:rsidRDefault="00817537" w:rsidP="00817537">
      <w:pPr>
        <w:ind w:firstLine="0"/>
        <w:jc w:val="right"/>
        <w:rPr>
          <w:i/>
          <w:szCs w:val="28"/>
          <w:lang w:val="en-US"/>
        </w:rPr>
      </w:pPr>
      <w:r w:rsidRPr="00817537">
        <w:rPr>
          <w:i/>
          <w:szCs w:val="28"/>
        </w:rPr>
        <w:t>Департамент социального развития ФНПР</w:t>
      </w:r>
    </w:p>
    <w:p w:rsidR="00CD15ED" w:rsidRDefault="00CD15ED" w:rsidP="00817537">
      <w:pPr>
        <w:ind w:firstLine="0"/>
        <w:jc w:val="right"/>
        <w:rPr>
          <w:i/>
          <w:szCs w:val="28"/>
          <w:lang w:val="en-US"/>
        </w:rPr>
      </w:pPr>
    </w:p>
    <w:p w:rsidR="00CD15ED" w:rsidRDefault="00CD15ED" w:rsidP="00817537">
      <w:pPr>
        <w:ind w:firstLine="0"/>
        <w:jc w:val="right"/>
        <w:rPr>
          <w:i/>
          <w:szCs w:val="28"/>
          <w:lang w:val="en-US"/>
        </w:rPr>
      </w:pPr>
    </w:p>
    <w:p w:rsidR="00CD15ED" w:rsidRPr="00CD15ED" w:rsidRDefault="00CD15ED" w:rsidP="00817537">
      <w:pPr>
        <w:ind w:firstLine="0"/>
        <w:jc w:val="right"/>
        <w:rPr>
          <w:i/>
          <w:szCs w:val="28"/>
        </w:rPr>
      </w:pPr>
      <w:r>
        <w:rPr>
          <w:i/>
          <w:noProof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-829310</wp:posOffset>
            </wp:positionH>
            <wp:positionV relativeFrom="paragraph">
              <wp:posOffset>205740</wp:posOffset>
            </wp:positionV>
            <wp:extent cx="7049770" cy="9607550"/>
            <wp:effectExtent l="19050" t="0" r="0" b="0"/>
            <wp:wrapSquare wrapText="bothSides"/>
            <wp:docPr id="1" name="Рисунок 1" descr="C:\Users\AR8330~1.BOC\AppData\Local\Temp\7zEC58C34BD\file-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8330~1.BOC\AppData\Local\Temp\7zEC58C34BD\file-00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70" cy="960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Cs w:val="28"/>
        </w:rPr>
        <w:t>Приложение</w:t>
      </w:r>
    </w:p>
    <w:p w:rsidR="00CD15ED" w:rsidRPr="00CD15ED" w:rsidRDefault="00CD15ED" w:rsidP="00817537">
      <w:pPr>
        <w:ind w:firstLine="0"/>
        <w:jc w:val="right"/>
        <w:rPr>
          <w:i/>
          <w:szCs w:val="28"/>
          <w:lang w:val="en-US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85.05pt;margin-top:-17.1pt;width:593.2pt;height:787.85pt;z-index:251660288;mso-position-horizontal-relative:text;mso-position-vertical-relative:text">
            <v:imagedata r:id="rId7" o:title="file-002"/>
            <w10:wrap type="square"/>
          </v:shape>
        </w:pict>
      </w:r>
    </w:p>
    <w:sectPr w:rsidR="00CD15ED" w:rsidRPr="00CD15ED" w:rsidSect="00CE6F7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F73" w:rsidRDefault="00CE6F73" w:rsidP="00CE6F73">
      <w:r>
        <w:separator/>
      </w:r>
    </w:p>
  </w:endnote>
  <w:endnote w:type="continuationSeparator" w:id="0">
    <w:p w:rsidR="00CE6F73" w:rsidRDefault="00CE6F73" w:rsidP="00CE6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F73" w:rsidRDefault="00CE6F73" w:rsidP="00CE6F73">
      <w:r>
        <w:separator/>
      </w:r>
    </w:p>
  </w:footnote>
  <w:footnote w:type="continuationSeparator" w:id="0">
    <w:p w:rsidR="00CE6F73" w:rsidRDefault="00CE6F73" w:rsidP="00CE6F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1752"/>
      <w:docPartObj>
        <w:docPartGallery w:val="Page Numbers (Top of Page)"/>
        <w:docPartUnique/>
      </w:docPartObj>
    </w:sdtPr>
    <w:sdtContent>
      <w:p w:rsidR="00CE6F73" w:rsidRDefault="00210CC1">
        <w:pPr>
          <w:pStyle w:val="a3"/>
          <w:jc w:val="center"/>
        </w:pPr>
        <w:fldSimple w:instr=" PAGE   \* MERGEFORMAT ">
          <w:r w:rsidR="00CD15ED">
            <w:rPr>
              <w:noProof/>
            </w:rPr>
            <w:t>3</w:t>
          </w:r>
        </w:fldSimple>
      </w:p>
    </w:sdtContent>
  </w:sdt>
  <w:p w:rsidR="00CE6F73" w:rsidRDefault="00CE6F7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6F73"/>
    <w:rsid w:val="00012E44"/>
    <w:rsid w:val="000156DC"/>
    <w:rsid w:val="000319FB"/>
    <w:rsid w:val="00044A4A"/>
    <w:rsid w:val="00056599"/>
    <w:rsid w:val="00067976"/>
    <w:rsid w:val="00077B30"/>
    <w:rsid w:val="000A7294"/>
    <w:rsid w:val="000B0209"/>
    <w:rsid w:val="001420DE"/>
    <w:rsid w:val="00173DDB"/>
    <w:rsid w:val="00174CD9"/>
    <w:rsid w:val="00176D3B"/>
    <w:rsid w:val="001C42E2"/>
    <w:rsid w:val="001E5E05"/>
    <w:rsid w:val="00210CC1"/>
    <w:rsid w:val="00270138"/>
    <w:rsid w:val="00297EE2"/>
    <w:rsid w:val="002A5F03"/>
    <w:rsid w:val="002B3A2C"/>
    <w:rsid w:val="002B475E"/>
    <w:rsid w:val="0030508B"/>
    <w:rsid w:val="00314C56"/>
    <w:rsid w:val="00352DFD"/>
    <w:rsid w:val="00363B5B"/>
    <w:rsid w:val="0037425E"/>
    <w:rsid w:val="00374FEB"/>
    <w:rsid w:val="003851D3"/>
    <w:rsid w:val="003E0E97"/>
    <w:rsid w:val="00410CDC"/>
    <w:rsid w:val="00410DF1"/>
    <w:rsid w:val="004269CA"/>
    <w:rsid w:val="004333C6"/>
    <w:rsid w:val="00453655"/>
    <w:rsid w:val="00462575"/>
    <w:rsid w:val="00490331"/>
    <w:rsid w:val="004A0644"/>
    <w:rsid w:val="004A29D5"/>
    <w:rsid w:val="004E0547"/>
    <w:rsid w:val="0052544F"/>
    <w:rsid w:val="00550D76"/>
    <w:rsid w:val="00551F0B"/>
    <w:rsid w:val="00554249"/>
    <w:rsid w:val="005633EF"/>
    <w:rsid w:val="00567D48"/>
    <w:rsid w:val="00576B62"/>
    <w:rsid w:val="005C73CD"/>
    <w:rsid w:val="005F1BC1"/>
    <w:rsid w:val="00634060"/>
    <w:rsid w:val="00664E80"/>
    <w:rsid w:val="00673901"/>
    <w:rsid w:val="0068200B"/>
    <w:rsid w:val="006C7B03"/>
    <w:rsid w:val="00714964"/>
    <w:rsid w:val="00724092"/>
    <w:rsid w:val="0073379A"/>
    <w:rsid w:val="00760C1C"/>
    <w:rsid w:val="0078752B"/>
    <w:rsid w:val="00792F8C"/>
    <w:rsid w:val="007C7E8C"/>
    <w:rsid w:val="00800AA7"/>
    <w:rsid w:val="00817537"/>
    <w:rsid w:val="00822777"/>
    <w:rsid w:val="0084761D"/>
    <w:rsid w:val="00856CB4"/>
    <w:rsid w:val="008A01DC"/>
    <w:rsid w:val="008B2831"/>
    <w:rsid w:val="008B2B0F"/>
    <w:rsid w:val="008D2295"/>
    <w:rsid w:val="009403B3"/>
    <w:rsid w:val="00970066"/>
    <w:rsid w:val="009F32F3"/>
    <w:rsid w:val="00A32164"/>
    <w:rsid w:val="00A77032"/>
    <w:rsid w:val="00A95803"/>
    <w:rsid w:val="00AA22F9"/>
    <w:rsid w:val="00AF4EC3"/>
    <w:rsid w:val="00B369E4"/>
    <w:rsid w:val="00B41964"/>
    <w:rsid w:val="00B4294F"/>
    <w:rsid w:val="00B42A12"/>
    <w:rsid w:val="00B446ED"/>
    <w:rsid w:val="00B5137E"/>
    <w:rsid w:val="00B51C50"/>
    <w:rsid w:val="00B533A6"/>
    <w:rsid w:val="00B53FB8"/>
    <w:rsid w:val="00B64B48"/>
    <w:rsid w:val="00B716BD"/>
    <w:rsid w:val="00BB1192"/>
    <w:rsid w:val="00BE278D"/>
    <w:rsid w:val="00BE2A80"/>
    <w:rsid w:val="00BE4216"/>
    <w:rsid w:val="00BE4D40"/>
    <w:rsid w:val="00C0722A"/>
    <w:rsid w:val="00C51687"/>
    <w:rsid w:val="00C73CFA"/>
    <w:rsid w:val="00C93EA6"/>
    <w:rsid w:val="00C97807"/>
    <w:rsid w:val="00CB32E1"/>
    <w:rsid w:val="00CC0AB8"/>
    <w:rsid w:val="00CC6C0F"/>
    <w:rsid w:val="00CD15ED"/>
    <w:rsid w:val="00CE6F73"/>
    <w:rsid w:val="00CF2841"/>
    <w:rsid w:val="00D01519"/>
    <w:rsid w:val="00D10ABF"/>
    <w:rsid w:val="00D21B36"/>
    <w:rsid w:val="00D64AA4"/>
    <w:rsid w:val="00D873C1"/>
    <w:rsid w:val="00D9552B"/>
    <w:rsid w:val="00DB27EB"/>
    <w:rsid w:val="00DB5D64"/>
    <w:rsid w:val="00DC1737"/>
    <w:rsid w:val="00DD5C33"/>
    <w:rsid w:val="00DF7394"/>
    <w:rsid w:val="00E05329"/>
    <w:rsid w:val="00E2349D"/>
    <w:rsid w:val="00E4186D"/>
    <w:rsid w:val="00E53EAF"/>
    <w:rsid w:val="00E74F29"/>
    <w:rsid w:val="00EF1A54"/>
    <w:rsid w:val="00F0311B"/>
    <w:rsid w:val="00F062B8"/>
    <w:rsid w:val="00F117B5"/>
    <w:rsid w:val="00F34C01"/>
    <w:rsid w:val="00F40245"/>
    <w:rsid w:val="00F42965"/>
    <w:rsid w:val="00F507D2"/>
    <w:rsid w:val="00F76BCB"/>
    <w:rsid w:val="00FB2026"/>
    <w:rsid w:val="00FE7A24"/>
    <w:rsid w:val="00FF1F55"/>
    <w:rsid w:val="00FF5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F73"/>
    <w:rPr>
      <w:rFonts w:eastAsia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6F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6F73"/>
    <w:rPr>
      <w:rFonts w:eastAsia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CE6F7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E6F73"/>
    <w:rPr>
      <w:rFonts w:eastAsia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D15E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15E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699</Words>
  <Characters>3988</Characters>
  <Application>Microsoft Office Word</Application>
  <DocSecurity>0</DocSecurity>
  <Lines>33</Lines>
  <Paragraphs>9</Paragraphs>
  <ScaleCrop>false</ScaleCrop>
  <Company/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A.R.Bocharova</dc:creator>
  <cp:keywords/>
  <dc:description/>
  <cp:lastModifiedBy>A.R.Bocharova</cp:lastModifiedBy>
  <cp:revision>5</cp:revision>
  <dcterms:created xsi:type="dcterms:W3CDTF">2026-05-21T06:40:00Z</dcterms:created>
  <dcterms:modified xsi:type="dcterms:W3CDTF">2026-05-25T06:59:00Z</dcterms:modified>
</cp:coreProperties>
</file>