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40" w:lineRule="auto"/>
        <w:ind w:left="4820"/>
        <w:jc w:val="center"/>
        <w:rPr>
          <w:rFonts w:ascii="Times New Roman" w:hAnsi="Times New Roman" w:cs="Times New Roman"/>
          <w:sz w:val="28"/>
          <w:szCs w:val="28"/>
        </w:rPr>
      </w:pPr>
      <w:r>
        <w:rPr>
          <w:rFonts w:ascii="Times New Roman" w:hAnsi="Times New Roman" w:cs="Times New Roman"/>
          <w:sz w:val="28"/>
          <w:szCs w:val="28"/>
        </w:rPr>
        <w:t>УТВЕРЖДЕН</w:t>
      </w:r>
      <w:r>
        <w:rPr>
          <w:rFonts w:ascii="Times New Roman" w:hAnsi="Times New Roman" w:cs="Times New Roman"/>
          <w:sz w:val="28"/>
          <w:szCs w:val="28"/>
        </w:rPr>
        <w:t>Ы</w:t>
      </w:r>
    </w:p>
    <w:p>
      <w:pPr>
        <w:spacing w:after="0" w:line="240" w:lineRule="auto"/>
        <w:ind w:left="4820"/>
        <w:jc w:val="center"/>
        <w:rPr>
          <w:rFonts w:ascii="Times New Roman" w:hAnsi="Times New Roman" w:cs="Times New Roman"/>
          <w:sz w:val="28"/>
          <w:szCs w:val="28"/>
        </w:rPr>
      </w:pPr>
      <w:r>
        <w:rPr>
          <w:rFonts w:ascii="Times New Roman" w:hAnsi="Times New Roman" w:cs="Times New Roman"/>
          <w:sz w:val="28"/>
          <w:szCs w:val="28"/>
        </w:rPr>
        <w:t xml:space="preserve">решением </w:t>
      </w:r>
      <w:proofErr w:type="gramStart"/>
      <w:r>
        <w:rPr>
          <w:rFonts w:ascii="Times New Roman" w:hAnsi="Times New Roman" w:cs="Times New Roman"/>
          <w:sz w:val="28"/>
          <w:szCs w:val="28"/>
        </w:rPr>
        <w:t>Российской</w:t>
      </w:r>
      <w:proofErr w:type="gramEnd"/>
      <w:r>
        <w:rPr>
          <w:rFonts w:ascii="Times New Roman" w:hAnsi="Times New Roman" w:cs="Times New Roman"/>
          <w:sz w:val="28"/>
          <w:szCs w:val="28"/>
        </w:rPr>
        <w:t xml:space="preserve"> трехсторонней</w:t>
      </w:r>
    </w:p>
    <w:p>
      <w:pPr>
        <w:spacing w:after="0" w:line="240" w:lineRule="auto"/>
        <w:ind w:left="4820"/>
        <w:jc w:val="center"/>
        <w:rPr>
          <w:rFonts w:ascii="Times New Roman" w:hAnsi="Times New Roman" w:cs="Times New Roman"/>
          <w:sz w:val="28"/>
          <w:szCs w:val="28"/>
        </w:rPr>
      </w:pPr>
      <w:r>
        <w:rPr>
          <w:rFonts w:ascii="Times New Roman" w:hAnsi="Times New Roman" w:cs="Times New Roman"/>
          <w:sz w:val="28"/>
          <w:szCs w:val="28"/>
        </w:rPr>
        <w:t xml:space="preserve">комиссии по регулированию </w:t>
      </w:r>
      <w:r>
        <w:rPr>
          <w:rFonts w:ascii="Times New Roman" w:hAnsi="Times New Roman" w:cs="Times New Roman"/>
          <w:sz w:val="28"/>
          <w:szCs w:val="28"/>
        </w:rPr>
        <w:br/>
        <w:t xml:space="preserve">социально-трудовых отношений </w:t>
      </w:r>
      <w:r>
        <w:rPr>
          <w:rFonts w:ascii="Times New Roman" w:hAnsi="Times New Roman" w:cs="Times New Roman"/>
          <w:sz w:val="28"/>
          <w:szCs w:val="28"/>
        </w:rPr>
        <w:br/>
        <w:t>от 2</w:t>
      </w:r>
      <w:r>
        <w:rPr>
          <w:rFonts w:ascii="Times New Roman" w:hAnsi="Times New Roman" w:cs="Times New Roman"/>
          <w:sz w:val="28"/>
          <w:szCs w:val="28"/>
        </w:rPr>
        <w:t>6</w:t>
      </w:r>
      <w:r>
        <w:rPr>
          <w:rFonts w:ascii="Times New Roman" w:hAnsi="Times New Roman" w:cs="Times New Roman"/>
          <w:sz w:val="28"/>
          <w:szCs w:val="28"/>
        </w:rPr>
        <w:t xml:space="preserve"> марта 202</w:t>
      </w:r>
      <w:r>
        <w:rPr>
          <w:rFonts w:ascii="Times New Roman" w:hAnsi="Times New Roman" w:cs="Times New Roman"/>
          <w:sz w:val="28"/>
          <w:szCs w:val="28"/>
        </w:rPr>
        <w:t>1</w:t>
      </w:r>
      <w:r>
        <w:rPr>
          <w:rFonts w:ascii="Times New Roman" w:hAnsi="Times New Roman" w:cs="Times New Roman"/>
          <w:sz w:val="28"/>
          <w:szCs w:val="28"/>
        </w:rPr>
        <w:t xml:space="preserve"> г., протокол № </w:t>
      </w:r>
      <w:r>
        <w:rPr>
          <w:rFonts w:ascii="Times New Roman" w:hAnsi="Times New Roman" w:cs="Times New Roman"/>
          <w:sz w:val="28"/>
          <w:szCs w:val="28"/>
        </w:rPr>
        <w:t>2</w:t>
      </w:r>
    </w:p>
    <w:p>
      <w:pPr>
        <w:spacing w:after="0" w:line="240" w:lineRule="auto"/>
        <w:ind w:left="4820"/>
        <w:rPr>
          <w:rFonts w:ascii="Times New Roman" w:hAnsi="Times New Roman" w:cs="Times New Roman"/>
          <w:sz w:val="26"/>
          <w:szCs w:val="26"/>
        </w:rPr>
        <w:sectPr>
          <w:headerReference w:type="default" r:id="rId8"/>
          <w:type w:val="continuous"/>
          <w:pgSz w:w="11906" w:h="16838"/>
          <w:pgMar w:top="1134" w:right="1134" w:bottom="1134" w:left="1418" w:header="680" w:footer="680" w:gutter="0"/>
          <w:pgNumType w:start="1"/>
          <w:cols w:space="708"/>
          <w:titlePg/>
          <w:docGrid w:linePitch="360"/>
        </w:sectPr>
      </w:pPr>
    </w:p>
    <w:p>
      <w:pPr>
        <w:pStyle w:val="aa"/>
        <w:jc w:val="both"/>
        <w:rPr>
          <w:rFonts w:ascii="Times New Roman" w:eastAsia="Times New Roman" w:hAnsi="Times New Roman" w:cs="Times New Roman"/>
          <w:sz w:val="28"/>
          <w:szCs w:val="28"/>
        </w:rPr>
      </w:pPr>
    </w:p>
    <w:p>
      <w:pPr>
        <w:pStyle w:val="aa"/>
        <w:jc w:val="both"/>
        <w:rPr>
          <w:rFonts w:ascii="Times New Roman" w:eastAsia="Times New Roman" w:hAnsi="Times New Roman" w:cs="Times New Roman"/>
          <w:sz w:val="28"/>
          <w:szCs w:val="28"/>
        </w:rPr>
      </w:pPr>
    </w:p>
    <w:p>
      <w:pPr>
        <w:pStyle w:val="aa"/>
        <w:jc w:val="both"/>
        <w:rPr>
          <w:rFonts w:ascii="Times New Roman" w:eastAsia="Times New Roman" w:hAnsi="Times New Roman" w:cs="Times New Roman"/>
          <w:sz w:val="28"/>
          <w:szCs w:val="28"/>
        </w:rPr>
      </w:pPr>
    </w:p>
    <w:p>
      <w:pPr>
        <w:pStyle w:val="aa"/>
        <w:jc w:val="both"/>
        <w:rPr>
          <w:rFonts w:ascii="Times New Roman" w:eastAsia="Times New Roman" w:hAnsi="Times New Roman" w:cs="Times New Roman"/>
          <w:sz w:val="28"/>
          <w:szCs w:val="28"/>
        </w:rPr>
      </w:pPr>
    </w:p>
    <w:p>
      <w:pPr>
        <w:pStyle w:val="aa"/>
        <w:jc w:val="both"/>
        <w:rPr>
          <w:rFonts w:ascii="Times New Roman" w:eastAsia="Times New Roman" w:hAnsi="Times New Roman" w:cs="Times New Roman"/>
          <w:sz w:val="28"/>
          <w:szCs w:val="28"/>
        </w:rPr>
      </w:pPr>
    </w:p>
    <w:p>
      <w:pPr>
        <w:pStyle w:val="aa"/>
        <w:jc w:val="both"/>
        <w:rPr>
          <w:rFonts w:ascii="Times New Roman" w:eastAsia="Times New Roman" w:hAnsi="Times New Roman" w:cs="Times New Roman"/>
          <w:sz w:val="28"/>
          <w:szCs w:val="28"/>
        </w:rPr>
      </w:pPr>
    </w:p>
    <w:p>
      <w:pPr>
        <w:pStyle w:val="aa"/>
        <w:jc w:val="both"/>
        <w:rPr>
          <w:rFonts w:ascii="Times New Roman" w:eastAsia="Times New Roman" w:hAnsi="Times New Roman" w:cs="Times New Roman"/>
          <w:sz w:val="28"/>
          <w:szCs w:val="28"/>
        </w:rPr>
      </w:pPr>
    </w:p>
    <w:p>
      <w:pPr>
        <w:pStyle w:val="aa"/>
        <w:jc w:val="center"/>
        <w:rPr>
          <w:rFonts w:ascii="Times New Roman" w:hAnsi="Times New Roman"/>
          <w:b/>
          <w:bCs/>
          <w:sz w:val="28"/>
          <w:szCs w:val="28"/>
        </w:rPr>
      </w:pPr>
    </w:p>
    <w:p>
      <w:pPr>
        <w:pStyle w:val="aa"/>
        <w:jc w:val="center"/>
        <w:rPr>
          <w:rFonts w:ascii="Times New Roman" w:hAnsi="Times New Roman"/>
          <w:b/>
          <w:bCs/>
          <w:sz w:val="28"/>
          <w:szCs w:val="28"/>
        </w:rPr>
      </w:pPr>
    </w:p>
    <w:p>
      <w:pPr>
        <w:pStyle w:val="aa"/>
        <w:jc w:val="center"/>
        <w:rPr>
          <w:rFonts w:ascii="Times New Roman" w:hAnsi="Times New Roman" w:cs="Times New Roman"/>
          <w:b/>
          <w:bCs/>
          <w:sz w:val="28"/>
          <w:szCs w:val="28"/>
        </w:rPr>
      </w:pPr>
    </w:p>
    <w:p>
      <w:pPr>
        <w:pStyle w:val="aa"/>
        <w:jc w:val="center"/>
        <w:rPr>
          <w:rFonts w:ascii="Times New Roman" w:hAnsi="Times New Roman" w:cs="Times New Roman"/>
          <w:b/>
          <w:bCs/>
          <w:sz w:val="32"/>
          <w:szCs w:val="32"/>
        </w:rPr>
      </w:pPr>
    </w:p>
    <w:p>
      <w:pPr>
        <w:pStyle w:val="aa"/>
        <w:jc w:val="center"/>
        <w:rPr>
          <w:rFonts w:ascii="Times New Roman" w:hAnsi="Times New Roman" w:cs="Times New Roman"/>
          <w:b/>
          <w:bCs/>
          <w:sz w:val="32"/>
          <w:szCs w:val="32"/>
        </w:rPr>
      </w:pPr>
    </w:p>
    <w:p>
      <w:pPr>
        <w:pStyle w:val="aa"/>
        <w:jc w:val="center"/>
        <w:rPr>
          <w:rFonts w:ascii="Times New Roman" w:hAnsi="Times New Roman" w:cs="Times New Roman"/>
          <w:b/>
          <w:sz w:val="32"/>
          <w:szCs w:val="32"/>
        </w:rPr>
      </w:pPr>
      <w:r>
        <w:rPr>
          <w:rFonts w:ascii="Times New Roman" w:hAnsi="Times New Roman" w:cs="Times New Roman"/>
          <w:b/>
          <w:bCs/>
          <w:sz w:val="32"/>
          <w:szCs w:val="32"/>
        </w:rPr>
        <w:t xml:space="preserve">Рекомендации </w:t>
      </w:r>
      <w:r>
        <w:rPr>
          <w:rFonts w:ascii="Times New Roman" w:hAnsi="Times New Roman" w:cs="Times New Roman"/>
          <w:b/>
          <w:sz w:val="32"/>
          <w:szCs w:val="32"/>
        </w:rPr>
        <w:t xml:space="preserve">Российской трехсторонней комиссии </w:t>
      </w:r>
    </w:p>
    <w:p>
      <w:pPr>
        <w:pStyle w:val="aa"/>
        <w:jc w:val="center"/>
        <w:rPr>
          <w:rFonts w:ascii="Times New Roman" w:hAnsi="Times New Roman" w:cs="Times New Roman"/>
          <w:b/>
          <w:sz w:val="32"/>
          <w:szCs w:val="32"/>
        </w:rPr>
      </w:pPr>
      <w:r>
        <w:rPr>
          <w:rFonts w:ascii="Times New Roman" w:hAnsi="Times New Roman" w:cs="Times New Roman"/>
          <w:b/>
          <w:sz w:val="32"/>
          <w:szCs w:val="32"/>
        </w:rPr>
        <w:t xml:space="preserve">по регулированию социально-трудовых отношений </w:t>
      </w:r>
      <w:r>
        <w:rPr>
          <w:rFonts w:ascii="Times New Roman" w:hAnsi="Times New Roman" w:cs="Times New Roman"/>
          <w:b/>
          <w:sz w:val="32"/>
          <w:szCs w:val="32"/>
        </w:rPr>
        <w:t xml:space="preserve">сторонам </w:t>
      </w:r>
    </w:p>
    <w:p>
      <w:pPr>
        <w:pStyle w:val="aa"/>
        <w:jc w:val="center"/>
        <w:rPr>
          <w:rFonts w:ascii="Times New Roman" w:hAnsi="Times New Roman" w:cs="Times New Roman"/>
          <w:b/>
          <w:sz w:val="32"/>
          <w:szCs w:val="32"/>
        </w:rPr>
      </w:pPr>
      <w:r>
        <w:rPr>
          <w:rFonts w:ascii="Times New Roman" w:hAnsi="Times New Roman" w:cs="Times New Roman"/>
          <w:b/>
          <w:sz w:val="32"/>
          <w:szCs w:val="32"/>
        </w:rPr>
        <w:t xml:space="preserve">социального партнерства </w:t>
      </w:r>
      <w:r>
        <w:rPr>
          <w:rFonts w:ascii="Times New Roman" w:hAnsi="Times New Roman" w:cs="Times New Roman"/>
          <w:b/>
          <w:sz w:val="32"/>
          <w:szCs w:val="32"/>
        </w:rPr>
        <w:t xml:space="preserve">по организации дистанционной (удаленной) работы и по определению категорий работников, </w:t>
      </w:r>
    </w:p>
    <w:p>
      <w:pPr>
        <w:pStyle w:val="aa"/>
        <w:jc w:val="center"/>
        <w:rPr>
          <w:rFonts w:ascii="Times New Roman" w:hAnsi="Times New Roman" w:cs="Times New Roman"/>
          <w:b/>
          <w:bCs/>
          <w:sz w:val="32"/>
          <w:szCs w:val="32"/>
        </w:rPr>
      </w:pPr>
      <w:proofErr w:type="gramStart"/>
      <w:r>
        <w:rPr>
          <w:rFonts w:ascii="Times New Roman" w:hAnsi="Times New Roman" w:cs="Times New Roman"/>
          <w:b/>
          <w:sz w:val="32"/>
          <w:szCs w:val="32"/>
        </w:rPr>
        <w:t>в приоритетном порядке временно переводимых на дистанционную (удаленную) работу по инициативе работодателя в исключительных случаях</w:t>
      </w:r>
      <w:proofErr w:type="gramEnd"/>
    </w:p>
    <w:p>
      <w:pPr>
        <w:pStyle w:val="aa"/>
        <w:jc w:val="center"/>
        <w:rPr>
          <w:rFonts w:ascii="Times New Roman" w:eastAsia="Times New Roman" w:hAnsi="Times New Roman" w:cs="Times New Roman"/>
          <w:b/>
          <w:bCs/>
          <w:sz w:val="28"/>
          <w:szCs w:val="28"/>
        </w:rPr>
      </w:pPr>
    </w:p>
    <w:p>
      <w:pPr>
        <w:pStyle w:val="aa"/>
        <w:spacing w:line="360" w:lineRule="auto"/>
        <w:jc w:val="center"/>
        <w:rPr>
          <w:rFonts w:ascii="Times New Roman" w:eastAsia="Times New Roman" w:hAnsi="Times New Roman" w:cs="Times New Roman"/>
          <w:sz w:val="28"/>
          <w:szCs w:val="28"/>
        </w:rPr>
      </w:pPr>
    </w:p>
    <w:p>
      <w:pPr>
        <w:pStyle w:val="aa"/>
        <w:spacing w:line="360" w:lineRule="auto"/>
        <w:jc w:val="center"/>
        <w:rPr>
          <w:rFonts w:ascii="Times New Roman" w:eastAsia="Times New Roman" w:hAnsi="Times New Roman" w:cs="Times New Roman"/>
          <w:sz w:val="28"/>
          <w:szCs w:val="28"/>
        </w:rPr>
      </w:pPr>
    </w:p>
    <w:p>
      <w:pPr>
        <w:pStyle w:val="aa"/>
        <w:spacing w:line="360" w:lineRule="auto"/>
        <w:jc w:val="center"/>
        <w:rPr>
          <w:rFonts w:ascii="Times New Roman" w:eastAsia="Times New Roman" w:hAnsi="Times New Roman" w:cs="Times New Roman"/>
          <w:sz w:val="28"/>
          <w:szCs w:val="28"/>
        </w:rPr>
      </w:pPr>
    </w:p>
    <w:p>
      <w:pPr>
        <w:pStyle w:val="aa"/>
        <w:spacing w:line="360" w:lineRule="auto"/>
        <w:jc w:val="center"/>
        <w:rPr>
          <w:rFonts w:ascii="Times New Roman" w:eastAsia="Times New Roman" w:hAnsi="Times New Roman" w:cs="Times New Roman"/>
          <w:sz w:val="28"/>
          <w:szCs w:val="28"/>
        </w:rPr>
      </w:pPr>
    </w:p>
    <w:p>
      <w:pPr>
        <w:pStyle w:val="aa"/>
        <w:spacing w:line="360" w:lineRule="auto"/>
        <w:jc w:val="center"/>
        <w:rPr>
          <w:rFonts w:ascii="Times New Roman" w:eastAsia="Times New Roman" w:hAnsi="Times New Roman" w:cs="Times New Roman"/>
          <w:sz w:val="28"/>
          <w:szCs w:val="28"/>
        </w:rPr>
      </w:pPr>
    </w:p>
    <w:p>
      <w:pPr>
        <w:pStyle w:val="aa"/>
        <w:spacing w:line="360" w:lineRule="auto"/>
        <w:jc w:val="center"/>
        <w:rPr>
          <w:rFonts w:ascii="Times New Roman" w:eastAsia="Times New Roman" w:hAnsi="Times New Roman" w:cs="Times New Roman"/>
          <w:sz w:val="28"/>
          <w:szCs w:val="28"/>
        </w:rPr>
      </w:pPr>
    </w:p>
    <w:p>
      <w:pPr>
        <w:pStyle w:val="aa"/>
        <w:spacing w:line="360" w:lineRule="auto"/>
        <w:jc w:val="center"/>
        <w:rPr>
          <w:rFonts w:ascii="Times New Roman" w:eastAsia="Times New Roman" w:hAnsi="Times New Roman" w:cs="Times New Roman"/>
          <w:sz w:val="28"/>
          <w:szCs w:val="28"/>
        </w:rPr>
      </w:pPr>
    </w:p>
    <w:p>
      <w:pPr>
        <w:pStyle w:val="aa"/>
        <w:spacing w:line="360" w:lineRule="auto"/>
        <w:jc w:val="center"/>
        <w:rPr>
          <w:rFonts w:ascii="Times New Roman" w:eastAsia="Times New Roman" w:hAnsi="Times New Roman" w:cs="Times New Roman"/>
          <w:sz w:val="28"/>
          <w:szCs w:val="28"/>
        </w:rPr>
      </w:pPr>
    </w:p>
    <w:p>
      <w:pPr>
        <w:pStyle w:val="aa"/>
        <w:spacing w:line="360" w:lineRule="auto"/>
        <w:jc w:val="center"/>
        <w:rPr>
          <w:rFonts w:ascii="Times New Roman" w:eastAsia="Times New Roman" w:hAnsi="Times New Roman" w:cs="Times New Roman"/>
          <w:sz w:val="28"/>
          <w:szCs w:val="28"/>
        </w:rPr>
      </w:pPr>
    </w:p>
    <w:p>
      <w:pPr>
        <w:pStyle w:val="aa"/>
        <w:spacing w:line="360" w:lineRule="auto"/>
        <w:jc w:val="center"/>
        <w:rPr>
          <w:rFonts w:ascii="Times New Roman" w:eastAsia="Times New Roman" w:hAnsi="Times New Roman" w:cs="Times New Roman"/>
          <w:sz w:val="28"/>
          <w:szCs w:val="28"/>
        </w:rPr>
      </w:pPr>
    </w:p>
    <w:p>
      <w:pPr>
        <w:pStyle w:val="aa"/>
        <w:spacing w:line="360" w:lineRule="auto"/>
        <w:jc w:val="center"/>
        <w:rPr>
          <w:rFonts w:ascii="Times New Roman" w:eastAsia="Times New Roman" w:hAnsi="Times New Roman" w:cs="Times New Roman"/>
          <w:sz w:val="28"/>
          <w:szCs w:val="28"/>
        </w:rPr>
      </w:pPr>
    </w:p>
    <w:p>
      <w:pPr>
        <w:pStyle w:val="aa"/>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Москва, 2021 год</w:t>
      </w:r>
    </w:p>
    <w:p>
      <w:pPr>
        <w:pStyle w:val="aa"/>
        <w:ind w:firstLine="709"/>
        <w:jc w:val="both"/>
        <w:rPr>
          <w:rFonts w:ascii="Times New Roman" w:eastAsia="Times New Roman" w:hAnsi="Times New Roman" w:cs="Times New Roman"/>
          <w:color w:val="auto"/>
          <w:sz w:val="28"/>
          <w:szCs w:val="28"/>
        </w:rPr>
      </w:pPr>
      <w:r>
        <w:rPr>
          <w:rFonts w:ascii="Times New Roman" w:hAnsi="Times New Roman"/>
          <w:sz w:val="28"/>
          <w:szCs w:val="28"/>
        </w:rPr>
        <w:lastRenderedPageBreak/>
        <w:t xml:space="preserve">В целях реализации абзаца третьего пункта 3 Постановления </w:t>
      </w:r>
      <w:r>
        <w:rPr>
          <w:rFonts w:ascii="Times New Roman" w:hAnsi="Times New Roman"/>
          <w:color w:val="auto"/>
          <w:sz w:val="28"/>
          <w:szCs w:val="28"/>
        </w:rPr>
        <w:t>Государственной Думы Федерального Собрания Российской Федерации от 26 ноября 2020 г. № 9238-7 Российская трехсторонняя комиссия по регулированию социально-трудовых отношений предлагает сторонам социального партнерства на соответствующих уровнях учитывать следующие рекомендации.</w:t>
      </w:r>
    </w:p>
    <w:p>
      <w:pPr>
        <w:pStyle w:val="aa"/>
        <w:ind w:firstLine="709"/>
        <w:jc w:val="both"/>
        <w:rPr>
          <w:rFonts w:ascii="Times New Roman" w:hAnsi="Times New Roman"/>
          <w:color w:val="auto"/>
          <w:sz w:val="28"/>
          <w:szCs w:val="28"/>
        </w:rPr>
      </w:pPr>
      <w:r>
        <w:rPr>
          <w:rFonts w:ascii="Times New Roman" w:hAnsi="Times New Roman"/>
          <w:color w:val="auto"/>
          <w:sz w:val="28"/>
          <w:szCs w:val="28"/>
        </w:rPr>
        <w:t xml:space="preserve">Вопросы  организации постоянной дистанционной (удаленной) работы                           (в течение срока действия трудового договора), временной дистанционной (удаленной) работы (до 6 месяцев), периодической дистанционной (удаленной) работы (чередование периодов выполнения работником трудовой функции дистанционно с выполнением трудовых функций на рабочем месте) (далее – дистанционная работа) регулируется в организациях в соответствии с Трудовым кодексом Российской Федерации коллективными договорами, локальными нормативными актами, принимаемыми с учетом мнения выборного органа первичной профсоюзной организации, трудовыми договорами. </w:t>
      </w:r>
    </w:p>
    <w:p>
      <w:pPr>
        <w:pStyle w:val="aa"/>
        <w:ind w:firstLine="709"/>
        <w:jc w:val="both"/>
        <w:rPr>
          <w:rFonts w:ascii="Times New Roman" w:hAnsi="Times New Roman"/>
          <w:color w:val="auto"/>
          <w:sz w:val="28"/>
          <w:szCs w:val="28"/>
        </w:rPr>
      </w:pPr>
      <w:r>
        <w:rPr>
          <w:rFonts w:ascii="Times New Roman" w:hAnsi="Times New Roman"/>
          <w:color w:val="auto"/>
          <w:sz w:val="28"/>
          <w:szCs w:val="28"/>
        </w:rPr>
        <w:t>Вопросы организации временного перевода работников на дистанционную работу по инициативе работодателя в исключительных случаях регламентируются в локальных нормативных актах, принимаемых с учетом мнения выборного органа первичной профсоюзной организации.</w:t>
      </w:r>
    </w:p>
    <w:p>
      <w:pPr>
        <w:pStyle w:val="aa"/>
        <w:ind w:firstLine="709"/>
        <w:jc w:val="both"/>
        <w:rPr>
          <w:rFonts w:ascii="Times New Roman" w:hAnsi="Times New Roman"/>
          <w:color w:val="auto"/>
          <w:sz w:val="28"/>
          <w:szCs w:val="28"/>
        </w:rPr>
      </w:pPr>
      <w:r>
        <w:rPr>
          <w:rFonts w:ascii="Times New Roman" w:hAnsi="Times New Roman"/>
          <w:color w:val="auto"/>
          <w:sz w:val="28"/>
          <w:szCs w:val="28"/>
        </w:rPr>
        <w:t>Организацию дистанционной работы (кроме дистанционной работы по инициативе работодателя в исключительных случаях) рекомендуется осуществлять с учетом специфики деятельности работников путем отражения  в коллективном договоре, локальном нормативном акте (актах), принимаемом с учетом мнения выборного органа первичной профсоюзной организации,</w:t>
      </w:r>
      <w:r>
        <w:t xml:space="preserve"> </w:t>
      </w:r>
      <w:r>
        <w:rPr>
          <w:rFonts w:ascii="Times New Roman" w:hAnsi="Times New Roman"/>
          <w:color w:val="auto"/>
          <w:sz w:val="28"/>
          <w:szCs w:val="28"/>
        </w:rPr>
        <w:t>в трудовом договоре, дополнительном соглашении к трудовому договору следующих положений:</w:t>
      </w:r>
    </w:p>
    <w:p>
      <w:pPr>
        <w:pStyle w:val="aa"/>
        <w:ind w:firstLine="709"/>
        <w:jc w:val="both"/>
        <w:rPr>
          <w:rFonts w:ascii="Times New Roman" w:eastAsia="Times New Roman" w:hAnsi="Times New Roman" w:cs="Times New Roman"/>
          <w:color w:val="auto"/>
          <w:sz w:val="28"/>
          <w:szCs w:val="28"/>
          <w:u w:color="FF0000"/>
        </w:rPr>
      </w:pPr>
      <w:r>
        <w:rPr>
          <w:rFonts w:ascii="Times New Roman" w:hAnsi="Times New Roman"/>
          <w:color w:val="auto"/>
          <w:sz w:val="28"/>
          <w:szCs w:val="28"/>
          <w:u w:color="FF0000"/>
        </w:rPr>
        <w:t>порядка взаимодействия работодателя и работника, в том числе в связи с выполнением трудовой функции дистанционно, передачей результатов работы и отчетов о выполненной работе по запросам работодателя,</w:t>
      </w:r>
    </w:p>
    <w:p>
      <w:pPr>
        <w:pStyle w:val="aa"/>
        <w:ind w:firstLine="709"/>
        <w:jc w:val="both"/>
        <w:rPr>
          <w:rFonts w:ascii="Times New Roman" w:eastAsia="Times New Roman" w:hAnsi="Times New Roman" w:cs="Times New Roman"/>
          <w:color w:val="auto"/>
          <w:sz w:val="28"/>
          <w:szCs w:val="28"/>
          <w:u w:color="FF0000"/>
        </w:rPr>
      </w:pPr>
      <w:r>
        <w:rPr>
          <w:rFonts w:ascii="Times New Roman" w:hAnsi="Times New Roman"/>
          <w:color w:val="auto"/>
          <w:sz w:val="28"/>
          <w:szCs w:val="28"/>
          <w:u w:color="FF0000"/>
        </w:rPr>
        <w:t xml:space="preserve">сроков подтверждения получения электронного документа от другой стороны; </w:t>
      </w:r>
    </w:p>
    <w:p>
      <w:pPr>
        <w:pStyle w:val="aa"/>
        <w:ind w:firstLine="709"/>
        <w:jc w:val="both"/>
        <w:rPr>
          <w:rFonts w:ascii="Times New Roman" w:eastAsia="Times New Roman" w:hAnsi="Times New Roman" w:cs="Times New Roman"/>
          <w:color w:val="auto"/>
          <w:sz w:val="28"/>
          <w:szCs w:val="28"/>
          <w:u w:color="FF0000"/>
        </w:rPr>
      </w:pPr>
      <w:r>
        <w:rPr>
          <w:rFonts w:ascii="Times New Roman" w:hAnsi="Times New Roman"/>
          <w:color w:val="auto"/>
          <w:sz w:val="28"/>
          <w:szCs w:val="28"/>
          <w:u w:color="FF0000"/>
        </w:rPr>
        <w:t>порядка подтверждения действий дистанционного работника и работодателя, связанных с предоставлением друг другу информации, если они осуществляют взаимодействие в иной форме;</w:t>
      </w:r>
    </w:p>
    <w:p>
      <w:pPr>
        <w:pStyle w:val="aa"/>
        <w:ind w:firstLine="709"/>
        <w:jc w:val="both"/>
        <w:rPr>
          <w:rFonts w:ascii="Times New Roman" w:eastAsia="Times New Roman" w:hAnsi="Times New Roman" w:cs="Times New Roman"/>
          <w:color w:val="auto"/>
          <w:sz w:val="28"/>
          <w:szCs w:val="28"/>
          <w:u w:color="FF0000"/>
        </w:rPr>
      </w:pPr>
      <w:r>
        <w:rPr>
          <w:rFonts w:ascii="Times New Roman" w:hAnsi="Times New Roman"/>
          <w:color w:val="auto"/>
          <w:sz w:val="28"/>
          <w:szCs w:val="28"/>
          <w:u w:color="FF0000"/>
        </w:rPr>
        <w:t>формы подачи работником работодателю заявлений (в письменной или электронной форме и др.), предусмотренных Трудовым кодексом Российской Федерации, осуществления ознакомления работника с документами, в отношении которых трудовым законодательством предусмотрено ознакомление под роспись;</w:t>
      </w:r>
    </w:p>
    <w:p>
      <w:pPr>
        <w:pStyle w:val="aa"/>
        <w:ind w:firstLine="708"/>
        <w:jc w:val="both"/>
        <w:rPr>
          <w:rFonts w:ascii="Times New Roman" w:eastAsia="Times New Roman" w:hAnsi="Times New Roman" w:cs="Times New Roman"/>
          <w:color w:val="auto"/>
          <w:sz w:val="28"/>
          <w:szCs w:val="28"/>
        </w:rPr>
      </w:pPr>
      <w:r>
        <w:rPr>
          <w:rFonts w:ascii="Times New Roman" w:hAnsi="Times New Roman"/>
          <w:color w:val="auto"/>
          <w:sz w:val="28"/>
          <w:szCs w:val="28"/>
        </w:rPr>
        <w:t>режима рабочего времени и времени отдыха дистанционного работника;</w:t>
      </w:r>
    </w:p>
    <w:p>
      <w:pPr>
        <w:pStyle w:val="aa"/>
        <w:ind w:firstLine="708"/>
        <w:jc w:val="both"/>
        <w:rPr>
          <w:rFonts w:ascii="Times New Roman" w:eastAsia="Times New Roman" w:hAnsi="Times New Roman" w:cs="Times New Roman"/>
          <w:color w:val="auto"/>
          <w:sz w:val="28"/>
          <w:szCs w:val="28"/>
          <w:u w:color="FF0000"/>
        </w:rPr>
      </w:pPr>
      <w:r>
        <w:rPr>
          <w:rFonts w:ascii="Times New Roman" w:hAnsi="Times New Roman"/>
          <w:color w:val="auto"/>
          <w:sz w:val="28"/>
          <w:szCs w:val="28"/>
          <w:u w:color="FF0000"/>
        </w:rPr>
        <w:t>условий и порядка вызова работодателем дистанционного работника на стационарное рабочее место или выхода на работу такого работника по своей инициативе (за исключением дистанционной работы в соответствии со статьей 312.9. Трудового кодекса Российской Федерации);</w:t>
      </w:r>
    </w:p>
    <w:p>
      <w:pPr>
        <w:pStyle w:val="aa"/>
        <w:ind w:firstLine="709"/>
        <w:jc w:val="both"/>
        <w:rPr>
          <w:rFonts w:ascii="Times New Roman" w:hAnsi="Times New Roman"/>
          <w:color w:val="auto"/>
          <w:sz w:val="28"/>
          <w:szCs w:val="28"/>
          <w:u w:color="FF0000"/>
        </w:rPr>
      </w:pPr>
      <w:r>
        <w:rPr>
          <w:rFonts w:ascii="Times New Roman" w:hAnsi="Times New Roman"/>
          <w:color w:val="auto"/>
          <w:sz w:val="28"/>
          <w:szCs w:val="28"/>
          <w:u w:color="FF0000"/>
        </w:rPr>
        <w:lastRenderedPageBreak/>
        <w:t>порядка предоставления ежегодного оплачиваемого отпуска и иных видов отпусков работникам, выполняющим дистанционную работу на постоянной основе;</w:t>
      </w:r>
    </w:p>
    <w:p>
      <w:pPr>
        <w:pStyle w:val="aa"/>
        <w:ind w:firstLine="709"/>
        <w:jc w:val="both"/>
        <w:rPr>
          <w:rFonts w:ascii="Times New Roman" w:eastAsia="Times New Roman" w:hAnsi="Times New Roman" w:cs="Times New Roman"/>
          <w:color w:val="auto"/>
          <w:sz w:val="28"/>
          <w:szCs w:val="28"/>
          <w:u w:color="FF0000"/>
        </w:rPr>
      </w:pPr>
      <w:r>
        <w:rPr>
          <w:rFonts w:ascii="Times New Roman" w:hAnsi="Times New Roman"/>
          <w:color w:val="auto"/>
          <w:sz w:val="28"/>
          <w:szCs w:val="28"/>
          <w:u w:color="FF0000"/>
        </w:rPr>
        <w:t>обеспечения работника необходимым оборудованием, программно-техническими средствами, средствами защиты и иными материально-техническими средствами, необходимыми работнику для выполнения своей трудовой функции;</w:t>
      </w:r>
    </w:p>
    <w:p>
      <w:pPr>
        <w:pStyle w:val="aa"/>
        <w:ind w:firstLine="709"/>
        <w:jc w:val="both"/>
        <w:rPr>
          <w:rFonts w:ascii="Times New Roman" w:hAnsi="Times New Roman"/>
          <w:color w:val="auto"/>
          <w:sz w:val="28"/>
          <w:szCs w:val="28"/>
        </w:rPr>
      </w:pPr>
      <w:r>
        <w:rPr>
          <w:rFonts w:ascii="Times New Roman" w:hAnsi="Times New Roman"/>
          <w:color w:val="auto"/>
          <w:sz w:val="28"/>
          <w:szCs w:val="28"/>
        </w:rPr>
        <w:t>порядка, сроков и размеров компенсации дистанционному работнику расходов за использование принадлежащих ему или арендованных им оборудования, программно-технических средств, средств защиты информации и иных средств (если работник использует данные средства с согласия или ведома работодателя и в его интересах);</w:t>
      </w:r>
    </w:p>
    <w:p>
      <w:pPr>
        <w:pStyle w:val="aa"/>
        <w:ind w:firstLine="709"/>
        <w:jc w:val="both"/>
        <w:rPr>
          <w:rFonts w:ascii="Times New Roman" w:eastAsia="Times New Roman" w:hAnsi="Times New Roman" w:cs="Times New Roman"/>
          <w:color w:val="auto"/>
          <w:sz w:val="28"/>
          <w:szCs w:val="28"/>
        </w:rPr>
      </w:pPr>
      <w:r>
        <w:rPr>
          <w:rFonts w:ascii="Times New Roman" w:hAnsi="Times New Roman"/>
          <w:color w:val="auto"/>
          <w:sz w:val="28"/>
          <w:szCs w:val="28"/>
        </w:rPr>
        <w:t>порядка ознакомления дистанционного работника с требованиями охраны труда при работе с оборудованием и средствами, рекомендованными или предоставленными работодателем;</w:t>
      </w:r>
    </w:p>
    <w:p>
      <w:pPr>
        <w:pStyle w:val="aa"/>
        <w:ind w:firstLine="709"/>
        <w:jc w:val="both"/>
        <w:rPr>
          <w:rFonts w:ascii="Times New Roman" w:hAnsi="Times New Roman"/>
          <w:color w:val="auto"/>
          <w:sz w:val="28"/>
          <w:szCs w:val="28"/>
        </w:rPr>
      </w:pPr>
      <w:r>
        <w:rPr>
          <w:rFonts w:ascii="Times New Roman" w:hAnsi="Times New Roman"/>
          <w:color w:val="auto"/>
          <w:sz w:val="28"/>
          <w:szCs w:val="28"/>
        </w:rPr>
        <w:t>распространения дополнительных гарантий, предусмотренных коллективным договором и (или) локальным нормативным актом работодателя, на дистанционных работников с учетом особенностей их работы;</w:t>
      </w:r>
    </w:p>
    <w:p>
      <w:pPr>
        <w:pStyle w:val="aa"/>
        <w:ind w:firstLine="709"/>
        <w:jc w:val="both"/>
        <w:rPr>
          <w:rFonts w:ascii="Times New Roman" w:hAnsi="Times New Roman"/>
          <w:color w:val="auto"/>
          <w:sz w:val="28"/>
          <w:szCs w:val="28"/>
        </w:rPr>
      </w:pPr>
      <w:r>
        <w:rPr>
          <w:rFonts w:ascii="Times New Roman" w:hAnsi="Times New Roman"/>
          <w:color w:val="auto"/>
          <w:sz w:val="28"/>
          <w:szCs w:val="28"/>
        </w:rPr>
        <w:t>иных положений, связанных с организацией дистанционной работы                             (при необходимости).В исключительных случаях, ставящих под угрозу жизнь или нормальные жизненные условия всего населения или его части, при осуществлении перевода на временную дистанционную работу по инициативе работодателя, работодатель с учетом фактической возможности работников и работодателя и решений, принятых органом государственной власти и (или) органом местного самоуправления, может установить категории работников, имеющих приоритетное право на перевод на временную дистанционную работу.</w:t>
      </w:r>
    </w:p>
    <w:p>
      <w:pPr>
        <w:pStyle w:val="aa"/>
        <w:ind w:firstLine="709"/>
        <w:jc w:val="both"/>
        <w:rPr>
          <w:rFonts w:ascii="Times New Roman" w:hAnsi="Times New Roman"/>
          <w:color w:val="auto"/>
          <w:sz w:val="28"/>
          <w:szCs w:val="28"/>
        </w:rPr>
      </w:pPr>
      <w:r>
        <w:rPr>
          <w:rFonts w:ascii="Times New Roman" w:hAnsi="Times New Roman"/>
          <w:color w:val="auto"/>
          <w:sz w:val="28"/>
          <w:szCs w:val="28"/>
        </w:rPr>
        <w:t>Например, к ним можно отнести:</w:t>
      </w:r>
    </w:p>
    <w:p>
      <w:pPr>
        <w:pStyle w:val="aa"/>
        <w:ind w:firstLine="709"/>
        <w:jc w:val="both"/>
        <w:rPr>
          <w:rFonts w:ascii="Times New Roman" w:hAnsi="Times New Roman"/>
          <w:color w:val="auto"/>
          <w:sz w:val="28"/>
          <w:szCs w:val="28"/>
        </w:rPr>
      </w:pPr>
      <w:r>
        <w:rPr>
          <w:rFonts w:ascii="Times New Roman" w:hAnsi="Times New Roman"/>
          <w:color w:val="auto"/>
          <w:sz w:val="28"/>
          <w:szCs w:val="28"/>
        </w:rPr>
        <w:t>работников, рабочие места которых находятся в зоне непосредственной угрозы для их жизни и здоровья;</w:t>
      </w:r>
    </w:p>
    <w:p>
      <w:pPr>
        <w:pStyle w:val="aa"/>
        <w:ind w:firstLine="709"/>
        <w:jc w:val="both"/>
        <w:rPr>
          <w:rFonts w:ascii="Times New Roman" w:eastAsia="Times New Roman" w:hAnsi="Times New Roman" w:cs="Times New Roman"/>
          <w:color w:val="auto"/>
          <w:sz w:val="28"/>
          <w:szCs w:val="28"/>
        </w:rPr>
      </w:pPr>
      <w:r>
        <w:rPr>
          <w:rFonts w:ascii="Times New Roman" w:hAnsi="Times New Roman"/>
          <w:color w:val="auto"/>
          <w:sz w:val="28"/>
          <w:szCs w:val="28"/>
        </w:rPr>
        <w:t xml:space="preserve">беременных женщин; </w:t>
      </w:r>
    </w:p>
    <w:p>
      <w:pPr>
        <w:pStyle w:val="aa"/>
        <w:ind w:firstLine="709"/>
        <w:jc w:val="both"/>
        <w:rPr>
          <w:rFonts w:ascii="Times New Roman" w:eastAsia="Times New Roman" w:hAnsi="Times New Roman" w:cs="Times New Roman"/>
          <w:color w:val="auto"/>
          <w:sz w:val="28"/>
          <w:szCs w:val="28"/>
        </w:rPr>
      </w:pPr>
      <w:r>
        <w:rPr>
          <w:rFonts w:ascii="Times New Roman" w:hAnsi="Times New Roman"/>
          <w:color w:val="auto"/>
          <w:sz w:val="28"/>
          <w:szCs w:val="28"/>
          <w:u w:color="C00000"/>
        </w:rPr>
        <w:t>работающих</w:t>
      </w:r>
      <w:r>
        <w:rPr>
          <w:rFonts w:ascii="Times New Roman" w:hAnsi="Times New Roman"/>
          <w:color w:val="auto"/>
          <w:sz w:val="28"/>
          <w:szCs w:val="28"/>
        </w:rPr>
        <w:t xml:space="preserve"> пенсионеров </w:t>
      </w:r>
      <w:r>
        <w:rPr>
          <w:rFonts w:ascii="Times New Roman" w:hAnsi="Times New Roman"/>
          <w:color w:val="auto"/>
          <w:sz w:val="28"/>
          <w:szCs w:val="28"/>
          <w:u w:color="C00000"/>
        </w:rPr>
        <w:t>и работников, имеющих хронические заболевания</w:t>
      </w:r>
      <w:r>
        <w:rPr>
          <w:rFonts w:ascii="Times New Roman" w:hAnsi="Times New Roman"/>
          <w:color w:val="auto"/>
          <w:sz w:val="28"/>
          <w:szCs w:val="28"/>
        </w:rPr>
        <w:t>;</w:t>
      </w:r>
    </w:p>
    <w:p>
      <w:pPr>
        <w:pStyle w:val="aa"/>
        <w:ind w:firstLine="709"/>
        <w:jc w:val="both"/>
        <w:rPr>
          <w:rFonts w:ascii="Times New Roman" w:eastAsia="Times New Roman" w:hAnsi="Times New Roman" w:cs="Times New Roman"/>
          <w:color w:val="auto"/>
          <w:sz w:val="28"/>
          <w:szCs w:val="28"/>
        </w:rPr>
      </w:pPr>
      <w:r>
        <w:rPr>
          <w:rFonts w:ascii="Times New Roman" w:hAnsi="Times New Roman"/>
          <w:color w:val="auto"/>
          <w:sz w:val="28"/>
          <w:szCs w:val="28"/>
        </w:rPr>
        <w:t xml:space="preserve">работников </w:t>
      </w:r>
      <w:r>
        <w:rPr>
          <w:rFonts w:ascii="Times New Roman" w:hAnsi="Times New Roman"/>
          <w:color w:val="auto"/>
          <w:sz w:val="28"/>
          <w:szCs w:val="28"/>
          <w:u w:color="C00000"/>
        </w:rPr>
        <w:t>(родителей, опекунов, попечителей, приемных родителей)</w:t>
      </w:r>
      <w:r>
        <w:rPr>
          <w:rFonts w:ascii="Times New Roman" w:hAnsi="Times New Roman"/>
          <w:color w:val="auto"/>
          <w:sz w:val="28"/>
          <w:szCs w:val="28"/>
        </w:rPr>
        <w:t xml:space="preserve">, имеющих детей в возрасте до 14 лет; </w:t>
      </w:r>
    </w:p>
    <w:p>
      <w:pPr>
        <w:pStyle w:val="aa"/>
        <w:ind w:firstLine="709"/>
        <w:jc w:val="both"/>
        <w:rPr>
          <w:rFonts w:ascii="Times New Roman" w:eastAsia="Times New Roman" w:hAnsi="Times New Roman" w:cs="Times New Roman"/>
          <w:color w:val="auto"/>
          <w:sz w:val="28"/>
          <w:szCs w:val="28"/>
        </w:rPr>
      </w:pPr>
      <w:r>
        <w:rPr>
          <w:rFonts w:ascii="Times New Roman" w:hAnsi="Times New Roman"/>
          <w:color w:val="auto"/>
          <w:sz w:val="28"/>
          <w:szCs w:val="28"/>
        </w:rPr>
        <w:t>работников, осуществляющих уход за инвалидами или длительно болеющими членами семьи, которые по состоянию здоровья нуждаются в уходе;</w:t>
      </w:r>
    </w:p>
    <w:p>
      <w:pPr>
        <w:pStyle w:val="aa"/>
        <w:ind w:firstLine="709"/>
        <w:jc w:val="both"/>
        <w:rPr>
          <w:rFonts w:ascii="Times New Roman" w:eastAsia="Times New Roman" w:hAnsi="Times New Roman" w:cs="Times New Roman"/>
          <w:color w:val="auto"/>
          <w:sz w:val="28"/>
          <w:szCs w:val="28"/>
        </w:rPr>
      </w:pPr>
      <w:r>
        <w:rPr>
          <w:rFonts w:ascii="Times New Roman" w:hAnsi="Times New Roman"/>
          <w:color w:val="auto"/>
          <w:sz w:val="28"/>
          <w:szCs w:val="28"/>
        </w:rPr>
        <w:t>инвалидов;</w:t>
      </w:r>
    </w:p>
    <w:p>
      <w:pPr>
        <w:pStyle w:val="aa"/>
        <w:ind w:firstLine="709"/>
        <w:jc w:val="both"/>
        <w:rPr>
          <w:rFonts w:ascii="Times New Roman" w:hAnsi="Times New Roman"/>
          <w:color w:val="auto"/>
          <w:sz w:val="28"/>
          <w:szCs w:val="28"/>
        </w:rPr>
      </w:pPr>
      <w:r>
        <w:rPr>
          <w:rFonts w:ascii="Times New Roman" w:hAnsi="Times New Roman"/>
          <w:color w:val="auto"/>
          <w:sz w:val="28"/>
          <w:szCs w:val="28"/>
          <w:u w:color="C00000"/>
        </w:rPr>
        <w:t>других работников, предусмотренных коллективным договором, локальным нормативным актом, трудовым договором</w:t>
      </w:r>
      <w:r>
        <w:rPr>
          <w:rFonts w:ascii="Times New Roman" w:hAnsi="Times New Roman"/>
          <w:color w:val="auto"/>
          <w:sz w:val="28"/>
          <w:szCs w:val="28"/>
        </w:rPr>
        <w:t>.</w:t>
      </w:r>
    </w:p>
    <w:p>
      <w:pPr>
        <w:autoSpaceDE w:val="0"/>
        <w:autoSpaceDN w:val="0"/>
        <w:adjustRightInd w:val="0"/>
        <w:spacing w:after="0" w:line="240" w:lineRule="auto"/>
        <w:ind w:firstLine="540"/>
        <w:jc w:val="both"/>
        <w:rPr>
          <w:rFonts w:cs="Calibri"/>
        </w:rPr>
      </w:pPr>
      <w:r>
        <w:rPr>
          <w:rFonts w:ascii="Times New Roman" w:hAnsi="Times New Roman"/>
          <w:sz w:val="28"/>
          <w:szCs w:val="28"/>
        </w:rPr>
        <w:t>Сторонам социального партнерства на отраслевом, региональном и муниципальном уровнях рекомендуется проводить анализ и обобщение правоприменительной практики организации дистанционной работы.</w:t>
      </w:r>
      <w:bookmarkStart w:id="0" w:name="_GoBack"/>
      <w:bookmarkEnd w:id="0"/>
      <w:r>
        <w:rPr>
          <w:rFonts w:ascii="Times New Roman" w:hAnsi="Times New Roman"/>
          <w:sz w:val="28"/>
          <w:szCs w:val="28"/>
        </w:rPr>
        <w:t xml:space="preserve"> </w:t>
      </w:r>
    </w:p>
    <w:p>
      <w:pPr>
        <w:autoSpaceDE w:val="0"/>
        <w:autoSpaceDN w:val="0"/>
        <w:adjustRightInd w:val="0"/>
        <w:spacing w:after="0" w:line="240" w:lineRule="auto"/>
        <w:jc w:val="both"/>
        <w:rPr>
          <w:rFonts w:ascii="Times New Roman" w:hAnsi="Times New Roman"/>
          <w:sz w:val="28"/>
          <w:szCs w:val="28"/>
        </w:rPr>
      </w:pPr>
    </w:p>
    <w:p>
      <w:pPr>
        <w:spacing w:after="0" w:line="240" w:lineRule="auto"/>
        <w:rPr>
          <w:rFonts w:ascii="Times New Roman" w:eastAsia="Times New Roman" w:hAnsi="Times New Roman" w:cs="Times New Roman"/>
          <w:sz w:val="20"/>
          <w:szCs w:val="20"/>
          <w:lang w:eastAsia="ru-RU"/>
        </w:rPr>
      </w:pPr>
    </w:p>
    <w:sectPr>
      <w:type w:val="continuous"/>
      <w:pgSz w:w="11906" w:h="16838"/>
      <w:pgMar w:top="1134" w:right="1134" w:bottom="567" w:left="1418" w:header="680" w:footer="6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3174021"/>
      <w:docPartObj>
        <w:docPartGallery w:val="Page Numbers (Top of Page)"/>
        <w:docPartUnique/>
      </w:docPartObj>
    </w:sdtPr>
    <w:sdtContent>
      <w:p>
        <w:pPr>
          <w:pStyle w:val="a6"/>
          <w:jc w:val="center"/>
        </w:pPr>
        <w:r>
          <w:fldChar w:fldCharType="begin"/>
        </w:r>
        <w:r>
          <w:instrText>PAGE   \* MERGEFORMAT</w:instrText>
        </w:r>
        <w:r>
          <w:fldChar w:fldCharType="separate"/>
        </w:r>
        <w:r>
          <w:rPr>
            <w:noProof/>
          </w:rPr>
          <w:t>3</w:t>
        </w:r>
        <w:r>
          <w:fldChar w:fldCharType="end"/>
        </w:r>
      </w:p>
    </w:sdtContent>
  </w:sdt>
  <w:p>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Pr>
      <w:rFonts w:ascii="Tahoma" w:hAnsi="Tahoma" w:cs="Tahoma"/>
      <w:sz w:val="16"/>
      <w:szCs w:val="16"/>
    </w:rPr>
  </w:style>
  <w:style w:type="table" w:styleId="a5">
    <w:name w:val="Table Grid"/>
    <w:basedOn w:val="a1"/>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pPr>
      <w:tabs>
        <w:tab w:val="center" w:pos="4677"/>
        <w:tab w:val="right" w:pos="9355"/>
      </w:tabs>
      <w:spacing w:after="0" w:line="240" w:lineRule="auto"/>
    </w:pPr>
  </w:style>
  <w:style w:type="character" w:customStyle="1" w:styleId="a7">
    <w:name w:val="Верхний колонтитул Знак"/>
    <w:basedOn w:val="a0"/>
    <w:link w:val="a6"/>
    <w:uiPriority w:val="99"/>
  </w:style>
  <w:style w:type="paragraph" w:styleId="a8">
    <w:name w:val="footer"/>
    <w:basedOn w:val="a"/>
    <w:link w:val="a9"/>
    <w:uiPriority w:val="99"/>
    <w:unhideWhenUsed/>
    <w:pPr>
      <w:tabs>
        <w:tab w:val="center" w:pos="4677"/>
        <w:tab w:val="right" w:pos="9355"/>
      </w:tabs>
      <w:spacing w:after="0" w:line="240" w:lineRule="auto"/>
    </w:pPr>
  </w:style>
  <w:style w:type="character" w:customStyle="1" w:styleId="a9">
    <w:name w:val="Нижний колонтитул Знак"/>
    <w:basedOn w:val="a0"/>
    <w:link w:val="a8"/>
    <w:uiPriority w:val="99"/>
  </w:style>
  <w:style w:type="table" w:customStyle="1" w:styleId="1">
    <w:name w:val="Сетка таблицы1"/>
    <w:basedOn w:val="a1"/>
    <w:next w:val="a5"/>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 Spacing"/>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Pr>
      <w:rFonts w:ascii="Tahoma" w:hAnsi="Tahoma" w:cs="Tahoma"/>
      <w:sz w:val="16"/>
      <w:szCs w:val="16"/>
    </w:rPr>
  </w:style>
  <w:style w:type="table" w:styleId="a5">
    <w:name w:val="Table Grid"/>
    <w:basedOn w:val="a1"/>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pPr>
      <w:tabs>
        <w:tab w:val="center" w:pos="4677"/>
        <w:tab w:val="right" w:pos="9355"/>
      </w:tabs>
      <w:spacing w:after="0" w:line="240" w:lineRule="auto"/>
    </w:pPr>
  </w:style>
  <w:style w:type="character" w:customStyle="1" w:styleId="a7">
    <w:name w:val="Верхний колонтитул Знак"/>
    <w:basedOn w:val="a0"/>
    <w:link w:val="a6"/>
    <w:uiPriority w:val="99"/>
  </w:style>
  <w:style w:type="paragraph" w:styleId="a8">
    <w:name w:val="footer"/>
    <w:basedOn w:val="a"/>
    <w:link w:val="a9"/>
    <w:uiPriority w:val="99"/>
    <w:unhideWhenUsed/>
    <w:pPr>
      <w:tabs>
        <w:tab w:val="center" w:pos="4677"/>
        <w:tab w:val="right" w:pos="9355"/>
      </w:tabs>
      <w:spacing w:after="0" w:line="240" w:lineRule="auto"/>
    </w:pPr>
  </w:style>
  <w:style w:type="character" w:customStyle="1" w:styleId="a9">
    <w:name w:val="Нижний колонтитул Знак"/>
    <w:basedOn w:val="a0"/>
    <w:link w:val="a8"/>
    <w:uiPriority w:val="99"/>
  </w:style>
  <w:style w:type="table" w:customStyle="1" w:styleId="1">
    <w:name w:val="Сетка таблицы1"/>
    <w:basedOn w:val="a1"/>
    <w:next w:val="a5"/>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 Spacing"/>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206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745EA-0F7F-447A-BB6F-97B849F13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842</Words>
  <Characters>4804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ЭОС</dc:creator>
  <cp:lastModifiedBy>DEFUSR</cp:lastModifiedBy>
  <cp:revision>15</cp:revision>
  <cp:lastPrinted>2021-03-15T13:29:00Z</cp:lastPrinted>
  <dcterms:created xsi:type="dcterms:W3CDTF">2021-03-15T11:15:00Z</dcterms:created>
  <dcterms:modified xsi:type="dcterms:W3CDTF">2021-03-15T13:31:00Z</dcterms:modified>
  <cp:category>Файлы документов</cp:category>
</cp:coreProperties>
</file>