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7B4" w:rsidRDefault="00FC47B4" w:rsidP="00FC47B4">
      <w:pPr>
        <w:pStyle w:val="a3"/>
        <w:shd w:val="clear" w:color="auto" w:fill="FFFFFF"/>
        <w:ind w:firstLine="709"/>
        <w:jc w:val="right"/>
        <w:rPr>
          <w:rFonts w:ascii="Tahoma" w:hAnsi="Tahoma" w:cs="Tahoma"/>
          <w:color w:val="000000"/>
          <w:sz w:val="32"/>
          <w:szCs w:val="32"/>
          <w:shd w:val="clear" w:color="auto" w:fill="FFFFFF"/>
        </w:rPr>
      </w:pPr>
      <w:r>
        <w:rPr>
          <w:rFonts w:ascii="Tahoma" w:hAnsi="Tahoma" w:cs="Tahoma"/>
          <w:color w:val="000000"/>
          <w:sz w:val="32"/>
          <w:szCs w:val="32"/>
          <w:shd w:val="clear" w:color="auto" w:fill="FFFFFF"/>
        </w:rPr>
        <w:t>Постановление Исполкома ФНПР</w:t>
      </w:r>
    </w:p>
    <w:p w:rsidR="00FC47B4" w:rsidRDefault="00FC47B4" w:rsidP="00FC47B4">
      <w:pPr>
        <w:pStyle w:val="a3"/>
        <w:shd w:val="clear" w:color="auto" w:fill="FFFFFF"/>
        <w:ind w:firstLine="709"/>
        <w:jc w:val="right"/>
        <w:rPr>
          <w:rStyle w:val="a4"/>
          <w:rFonts w:ascii="Verdana" w:hAnsi="Verdana"/>
          <w:color w:val="252D33"/>
          <w:sz w:val="17"/>
          <w:szCs w:val="17"/>
        </w:rPr>
      </w:pPr>
      <w:r>
        <w:rPr>
          <w:rFonts w:ascii="Tahoma" w:hAnsi="Tahoma" w:cs="Tahoma"/>
          <w:color w:val="000000"/>
          <w:sz w:val="32"/>
          <w:szCs w:val="32"/>
          <w:shd w:val="clear" w:color="auto" w:fill="FFFFFF"/>
        </w:rPr>
        <w:t xml:space="preserve"> от 21.02.2018 № 1-5</w:t>
      </w:r>
    </w:p>
    <w:p w:rsidR="00FC47B4" w:rsidRDefault="00FC47B4" w:rsidP="00FC47B4">
      <w:pPr>
        <w:pStyle w:val="a3"/>
        <w:shd w:val="clear" w:color="auto" w:fill="FFFFFF"/>
        <w:ind w:firstLine="709"/>
        <w:jc w:val="center"/>
        <w:rPr>
          <w:rStyle w:val="a4"/>
          <w:rFonts w:ascii="Verdana" w:hAnsi="Verdana"/>
          <w:color w:val="252D33"/>
          <w:sz w:val="17"/>
          <w:szCs w:val="17"/>
        </w:rPr>
      </w:pPr>
    </w:p>
    <w:p w:rsidR="00FC47B4" w:rsidRDefault="00FC47B4" w:rsidP="00FC47B4">
      <w:pPr>
        <w:pStyle w:val="a3"/>
        <w:shd w:val="clear" w:color="auto" w:fill="FFFFFF"/>
        <w:ind w:firstLine="709"/>
        <w:jc w:val="center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Style w:val="a4"/>
          <w:rFonts w:ascii="Verdana" w:hAnsi="Verdana"/>
          <w:color w:val="252D33"/>
          <w:sz w:val="17"/>
          <w:szCs w:val="17"/>
        </w:rPr>
        <w:t>О реализации Постановления Конституционного Суда Российской Федерации от 07.12.2017 г. № 38-П по делу о проверке конституционности отдельных положений статьи 129, частей первой и третьей статьи 133, частей первой, второй, третьей, четвертой и одиннадцатой статьи 133</w:t>
      </w:r>
      <w:r>
        <w:rPr>
          <w:rStyle w:val="a4"/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Style w:val="a4"/>
          <w:rFonts w:ascii="Verdana" w:hAnsi="Verdana"/>
          <w:color w:val="252D33"/>
          <w:sz w:val="17"/>
          <w:szCs w:val="17"/>
        </w:rPr>
        <w:t xml:space="preserve"> Трудового кодекса Российской Федерации в связи с жалобами граждан В.С.Григорьевой, О.Л. </w:t>
      </w:r>
      <w:proofErr w:type="spellStart"/>
      <w:r>
        <w:rPr>
          <w:rStyle w:val="a4"/>
          <w:rFonts w:ascii="Verdana" w:hAnsi="Verdana"/>
          <w:color w:val="252D33"/>
          <w:sz w:val="17"/>
          <w:szCs w:val="17"/>
        </w:rPr>
        <w:t>Дейдей</w:t>
      </w:r>
      <w:proofErr w:type="spellEnd"/>
      <w:r>
        <w:rPr>
          <w:rStyle w:val="a4"/>
          <w:rFonts w:ascii="Verdana" w:hAnsi="Verdana"/>
          <w:color w:val="252D33"/>
          <w:sz w:val="17"/>
          <w:szCs w:val="17"/>
        </w:rPr>
        <w:t xml:space="preserve">, Н.А. </w:t>
      </w:r>
      <w:proofErr w:type="spellStart"/>
      <w:r>
        <w:rPr>
          <w:rStyle w:val="a4"/>
          <w:rFonts w:ascii="Verdana" w:hAnsi="Verdana"/>
          <w:color w:val="252D33"/>
          <w:sz w:val="17"/>
          <w:szCs w:val="17"/>
        </w:rPr>
        <w:t>Капуриной</w:t>
      </w:r>
      <w:proofErr w:type="spellEnd"/>
      <w:r>
        <w:rPr>
          <w:rStyle w:val="a4"/>
          <w:rFonts w:ascii="Verdana" w:hAnsi="Verdana"/>
          <w:color w:val="252D33"/>
          <w:sz w:val="17"/>
          <w:szCs w:val="17"/>
        </w:rPr>
        <w:t xml:space="preserve"> и И.Я. </w:t>
      </w:r>
      <w:proofErr w:type="spellStart"/>
      <w:r>
        <w:rPr>
          <w:rStyle w:val="a4"/>
          <w:rFonts w:ascii="Verdana" w:hAnsi="Verdana"/>
          <w:color w:val="252D33"/>
          <w:sz w:val="17"/>
          <w:szCs w:val="17"/>
        </w:rPr>
        <w:t>Кураш</w:t>
      </w:r>
      <w:proofErr w:type="spellEnd"/>
      <w:proofErr w:type="gramEnd"/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 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Исполнительный комитет ФНПР отмечает, что ФНПР, её членские организации во исполнение постановления Исполкома ФНПР от 28.07.2010  № 4-3 «О ходе проведения профсоюзной кампании «МРОТ - по закону!»» проводили активную работу по обеспечению работникам заработной платы не ниже минимального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размера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>, установленного федеральным законом, без учёта компенсационных и стимулирующих  выплат.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В судах республик Алтай, Карелия, Коми, Забайкальского и Пермского краёв, Архангельской, Иркутской и других областей рассматривались дела, по которым принимались решения в пользу работников - членов профсоюзов по их искам к работодателям о </w:t>
      </w:r>
      <w:proofErr w:type="spellStart"/>
      <w:r>
        <w:rPr>
          <w:rFonts w:ascii="Verdana" w:hAnsi="Verdana"/>
          <w:color w:val="252D33"/>
          <w:sz w:val="17"/>
          <w:szCs w:val="17"/>
        </w:rPr>
        <w:t>недоначисленной</w:t>
      </w:r>
      <w:proofErr w:type="spellEnd"/>
      <w:r>
        <w:rPr>
          <w:rFonts w:ascii="Verdana" w:hAnsi="Verdana"/>
          <w:color w:val="252D33"/>
          <w:sz w:val="17"/>
          <w:szCs w:val="17"/>
        </w:rPr>
        <w:t xml:space="preserve"> заработной плате.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Наиболее активные и последовательные действия по отстаиванию требований работников – членов профсоюзов проводили Профсоюз работников народного образования и науки Российской Федерации и Профсоюз работников здравоохранения Российской Федерации.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В результате проведенной работы сложилась определенная позиция судов в интересах работников, закрепленная в Обзоре судебной практики Верховного Суда РФ за третий квартал 2013 года, утвержденном Президиумом Верховного Суда РФ от 5 февраля 2014 года, и Обзоре практики рассмотрения судами дел, связанных с осуществлением гражданами трудовой деятельности в районах Крайнего Севера и приравненных к ним местностях, утвержденном Президиумом Верховного Суда РФ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от 26 февраля 2014 года (в редакции от 26 апреля 2017 г.).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Однако правоприменительная практика изменилась в связи с позицией Судебной коллегии по гражданским делам Верховного Суда РФ, выраженной в определениях от 8 августа 2016 года № 72-КГ16-4 и от 19 сентября 2016 года № 51-КГ16-10, в результате чего было инициировано обращение граждан в Конституционный Суд Российской Федерации о проверке конституционности положений ст. 129, ч. 1 и 3 ст. 133, ч. 1, 2, 3</w:t>
      </w:r>
      <w:proofErr w:type="gramEnd"/>
      <w:r>
        <w:rPr>
          <w:rFonts w:ascii="Verdana" w:hAnsi="Verdana"/>
          <w:color w:val="252D33"/>
          <w:sz w:val="17"/>
          <w:szCs w:val="17"/>
        </w:rPr>
        <w:t>, 4 и 11         ст.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> ТК РФ.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Инициатива Российского профсоюза железнодорожников и транспортных строителей на сайте Российской общественной инициативы «О не включении в МРОТ выплат компенсационного и стимулирующего характера» в 2017 году набрала более 100 тысяч голосов и была поддержана экспертной группой при Открытом Правительстве Российской Федерации.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Из положений 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3 ст. 37 Конституции РФ о праве каждого на воз</w:t>
      </w:r>
      <w:r>
        <w:rPr>
          <w:rFonts w:ascii="Verdana" w:hAnsi="Verdana"/>
          <w:color w:val="252D33"/>
          <w:sz w:val="17"/>
          <w:szCs w:val="17"/>
        </w:rPr>
        <w:softHyphen/>
        <w:t>награждение за труд не ниже установленного федеральным законом МРОТ вытекает, что по своей правовой природе МРОТ является не чем иным, как </w:t>
      </w:r>
      <w:r>
        <w:rPr>
          <w:rFonts w:ascii="Verdana" w:hAnsi="Verdana"/>
          <w:i/>
          <w:iCs/>
          <w:color w:val="252D33"/>
          <w:sz w:val="17"/>
          <w:szCs w:val="17"/>
        </w:rPr>
        <w:t>вознаграждением за труд</w:t>
      </w:r>
      <w:r>
        <w:rPr>
          <w:rFonts w:ascii="Verdana" w:hAnsi="Verdana"/>
          <w:color w:val="252D33"/>
          <w:sz w:val="17"/>
          <w:szCs w:val="17"/>
        </w:rPr>
        <w:t> в виде его минимально допустимой нижней планки, устанавливаемой федеральным законом. Поэтому он гарантируется Конституцией РФ в качестве именно </w:t>
      </w:r>
      <w:r>
        <w:rPr>
          <w:rFonts w:ascii="Verdana" w:hAnsi="Verdana"/>
          <w:i/>
          <w:iCs/>
          <w:color w:val="252D33"/>
          <w:sz w:val="17"/>
          <w:szCs w:val="17"/>
        </w:rPr>
        <w:t>минимального вознаграждения за труд</w:t>
      </w:r>
      <w:r>
        <w:rPr>
          <w:rFonts w:ascii="Verdana" w:hAnsi="Verdana"/>
          <w:color w:val="252D33"/>
          <w:sz w:val="17"/>
          <w:szCs w:val="17"/>
        </w:rPr>
        <w:t> – неприкосновенной части заработной платы (оплаты труда работника) (далее – заработной платы), находящейся под непосредственной конституционной защитой. Другим, кроме </w:t>
      </w:r>
      <w:r>
        <w:rPr>
          <w:rFonts w:ascii="Verdana" w:hAnsi="Verdana"/>
          <w:i/>
          <w:iCs/>
          <w:color w:val="252D33"/>
          <w:sz w:val="17"/>
          <w:szCs w:val="17"/>
        </w:rPr>
        <w:t>минимально</w:t>
      </w:r>
      <w:r>
        <w:rPr>
          <w:rFonts w:ascii="Verdana" w:hAnsi="Verdana"/>
          <w:i/>
          <w:iCs/>
          <w:color w:val="252D33"/>
          <w:sz w:val="17"/>
          <w:szCs w:val="17"/>
        </w:rPr>
        <w:softHyphen/>
        <w:t>го вознаграждения за труд</w:t>
      </w:r>
      <w:r>
        <w:rPr>
          <w:rFonts w:ascii="Verdana" w:hAnsi="Verdana"/>
          <w:color w:val="252D33"/>
          <w:sz w:val="17"/>
          <w:szCs w:val="17"/>
        </w:rPr>
        <w:t>, составным частям заработной платы (оплаты труда работника) (</w:t>
      </w:r>
      <w:r>
        <w:rPr>
          <w:rFonts w:ascii="Verdana" w:hAnsi="Verdana"/>
          <w:i/>
          <w:iCs/>
          <w:color w:val="252D33"/>
          <w:sz w:val="17"/>
          <w:szCs w:val="17"/>
        </w:rPr>
        <w:t>компенсационным и стимулирующим выплатам</w:t>
      </w:r>
      <w:r>
        <w:rPr>
          <w:rFonts w:ascii="Verdana" w:hAnsi="Verdana"/>
          <w:color w:val="252D33"/>
          <w:sz w:val="17"/>
          <w:szCs w:val="17"/>
        </w:rPr>
        <w:t>) такая непосредственная конституционная защита не предоставлена.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i/>
          <w:iCs/>
          <w:color w:val="252D33"/>
          <w:sz w:val="17"/>
          <w:szCs w:val="17"/>
        </w:rPr>
        <w:t>Вознаграждение за труд</w:t>
      </w:r>
      <w:r>
        <w:rPr>
          <w:rFonts w:ascii="Verdana" w:hAnsi="Verdana"/>
          <w:color w:val="252D33"/>
          <w:sz w:val="17"/>
          <w:szCs w:val="17"/>
        </w:rPr>
        <w:t> представляет собой не только </w:t>
      </w:r>
      <w:r>
        <w:rPr>
          <w:rFonts w:ascii="Verdana" w:hAnsi="Verdana"/>
          <w:i/>
          <w:iCs/>
          <w:color w:val="252D33"/>
          <w:sz w:val="17"/>
          <w:szCs w:val="17"/>
        </w:rPr>
        <w:t>первую и основную по значимости слагаемую часть заработной платы, но и необходимую ее часть</w:t>
      </w:r>
      <w:r>
        <w:rPr>
          <w:rFonts w:ascii="Verdana" w:hAnsi="Verdana"/>
          <w:color w:val="252D33"/>
          <w:sz w:val="17"/>
          <w:szCs w:val="17"/>
        </w:rPr>
        <w:t>. Так, заработная плата работника может быть сведена лишь к вознаграждению за труд (тарифной ставке, окладу, (должностному окладу)) – без компенсационных и стимулирующих выплат.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Размер вознаграждения за труд в виде тарифной ставки или оклада (должностного оклада) работника является обязательным условием трудового договора (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. 2 ст. 57 ТК РФ), то есть устанавливается трудовым договором. </w:t>
      </w:r>
      <w:proofErr w:type="gramStart"/>
      <w:r>
        <w:rPr>
          <w:rFonts w:ascii="Verdana" w:hAnsi="Verdana"/>
          <w:color w:val="252D33"/>
          <w:sz w:val="17"/>
          <w:szCs w:val="17"/>
        </w:rPr>
        <w:t xml:space="preserve">Поскольку в ч. 3 ст. 37 Конституции РФ закреплено право </w:t>
      </w:r>
      <w:r>
        <w:rPr>
          <w:rFonts w:ascii="Verdana" w:hAnsi="Verdana"/>
          <w:color w:val="252D33"/>
          <w:sz w:val="17"/>
          <w:szCs w:val="17"/>
        </w:rPr>
        <w:lastRenderedPageBreak/>
        <w:t>каждого на вознаграждение за труд не ниже установленного федеральным законом МРОТ, то в настоящее время конкретный размер вознаграждения за труд (размер полной тарифной ставки или полного оклада (должностного оклада)), устанавливаемый трудовым договором, не может быть ниже 9.489 рублей в месяц, то есть МРОТ, установленного с 1 января 2018 года Федеральным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законом от 28 декабря  2017 № 421-ФЗ «О внесении изменений в отдельные законодательные акты Российской Федерации в части повышения минимального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размера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до прожиточного минимума трудоспособного населения».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При этом, как указывается в ст. 1 этого закона, начиная с 1 января 2019 года и далее ежегодно с 1 января соответствующего года минимальный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устанавливается федеральным законом в размере величины прожиточного минимума трудоспособного населения в целом по Российской Федерации за второй квартал предыдущего года.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Однако, уже 26 января 2018 года Президент Российской Федерации, как субъект права законодательной инициативы, внес в Государственную Думу проект федерального закона № 374313-7 о внесении изменений в ст. 1 Федерального закона «О минимальном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размере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>», предложив ее в следующей редакции: «Установить минимальный размер оплаты труда с    1 мая 2018 года в сумме 11163 рубля в месяц</w:t>
      </w:r>
      <w:proofErr w:type="gramStart"/>
      <w:r>
        <w:rPr>
          <w:rFonts w:ascii="Verdana" w:hAnsi="Verdana"/>
          <w:color w:val="252D33"/>
          <w:sz w:val="17"/>
          <w:szCs w:val="17"/>
        </w:rPr>
        <w:t xml:space="preserve">.». </w:t>
      </w:r>
      <w:proofErr w:type="gramEnd"/>
      <w:r>
        <w:rPr>
          <w:rFonts w:ascii="Verdana" w:hAnsi="Verdana"/>
          <w:color w:val="252D33"/>
          <w:sz w:val="17"/>
          <w:szCs w:val="17"/>
        </w:rPr>
        <w:t>Как видно, Президент РФ  В.В. Путин предложил ускорить процесс доведения МРОТ до 100% от величины прожиточного минимума трудоспособного населения (100% от величины прожиточного минимума трудоспособного населения за второй квартал 2017 года).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i/>
          <w:iCs/>
          <w:color w:val="252D33"/>
          <w:sz w:val="17"/>
          <w:szCs w:val="17"/>
        </w:rPr>
        <w:t>Вторую составную часть заработной платы в виде компенсационных выплат ТК РФ</w:t>
      </w:r>
      <w:r>
        <w:rPr>
          <w:rFonts w:ascii="Verdana" w:hAnsi="Verdana"/>
          <w:color w:val="252D33"/>
          <w:sz w:val="17"/>
          <w:szCs w:val="17"/>
        </w:rPr>
        <w:t> не только формально отличает от </w:t>
      </w:r>
      <w:r>
        <w:rPr>
          <w:rFonts w:ascii="Verdana" w:hAnsi="Verdana"/>
          <w:i/>
          <w:iCs/>
          <w:color w:val="252D33"/>
          <w:sz w:val="17"/>
          <w:szCs w:val="17"/>
        </w:rPr>
        <w:t>вознаграждения за труд</w:t>
      </w:r>
      <w:r>
        <w:rPr>
          <w:rFonts w:ascii="Verdana" w:hAnsi="Verdana"/>
          <w:color w:val="252D33"/>
          <w:sz w:val="17"/>
          <w:szCs w:val="17"/>
        </w:rPr>
        <w:t>,  но и основания назначения компенсационных выплат работнику связывает не с его квалификацией, сложностью, количеством и качеством выполняемой работы, которыми определяется выплачиваемое работнику вознаграждение за труд, а с особыми (отклоняющимися от нормальных) условиями его труда (работы), влекущими дополнительные (повышенные) физиологические           и материальные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затраты работника, и, как следствие, необходимость компенсирования этих затрат посредством установления работнику повышенной оплаты труда. Среди компенсационных выплат 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1 ст. 129 ТК РФ различает выплаты: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– за работу в условиях, отклоняющихся </w:t>
      </w:r>
      <w:proofErr w:type="gramStart"/>
      <w:r>
        <w:rPr>
          <w:rFonts w:ascii="Verdana" w:hAnsi="Verdana"/>
          <w:color w:val="252D33"/>
          <w:sz w:val="17"/>
          <w:szCs w:val="17"/>
        </w:rPr>
        <w:t>от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нормальных;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– за работу в особых климатических условиях и на территориях, под</w:t>
      </w:r>
      <w:r>
        <w:rPr>
          <w:rFonts w:ascii="Verdana" w:hAnsi="Verdana"/>
          <w:color w:val="252D33"/>
          <w:sz w:val="17"/>
          <w:szCs w:val="17"/>
        </w:rPr>
        <w:softHyphen/>
        <w:t>вергшихся радиоактивному загрязнению;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– иные выплаты компенсационного характера.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Наиболее распространенными являются компенсационные выплаты работникам: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– занятым на работах с вредными и (или) опасными и иными особыми условиями труда – в виде «</w:t>
      </w:r>
      <w:r>
        <w:rPr>
          <w:rFonts w:ascii="Verdana" w:hAnsi="Verdana"/>
          <w:i/>
          <w:iCs/>
          <w:color w:val="252D33"/>
          <w:sz w:val="17"/>
          <w:szCs w:val="17"/>
        </w:rPr>
        <w:t>конкретных размеров повышения оплаты труда</w:t>
      </w:r>
      <w:r>
        <w:rPr>
          <w:rFonts w:ascii="Verdana" w:hAnsi="Verdana"/>
          <w:color w:val="252D33"/>
          <w:sz w:val="17"/>
          <w:szCs w:val="17"/>
        </w:rPr>
        <w:t>», устанавливаемых работодателем с учетом мнения представительного     органа работников в порядке, установленном ст. 372 ТК РФ (ч. 1 ст. 146,      ст. 147 ТК РФ);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– занятым на работах в местностях с особыми климатическими усло</w:t>
      </w:r>
      <w:r>
        <w:rPr>
          <w:rFonts w:ascii="Verdana" w:hAnsi="Verdana"/>
          <w:color w:val="252D33"/>
          <w:sz w:val="17"/>
          <w:szCs w:val="17"/>
        </w:rPr>
        <w:softHyphen/>
        <w:t>виями – в виде «</w:t>
      </w:r>
      <w:r>
        <w:rPr>
          <w:rFonts w:ascii="Verdana" w:hAnsi="Verdana"/>
          <w:i/>
          <w:iCs/>
          <w:color w:val="252D33"/>
          <w:sz w:val="17"/>
          <w:szCs w:val="17"/>
        </w:rPr>
        <w:t>районного коэффициента к заработной плате</w:t>
      </w:r>
      <w:r>
        <w:rPr>
          <w:rFonts w:ascii="Verdana" w:hAnsi="Verdana"/>
          <w:color w:val="252D33"/>
          <w:sz w:val="17"/>
          <w:szCs w:val="17"/>
        </w:rPr>
        <w:t>» и «</w:t>
      </w:r>
      <w:r>
        <w:rPr>
          <w:rFonts w:ascii="Verdana" w:hAnsi="Verdana"/>
          <w:i/>
          <w:iCs/>
          <w:color w:val="252D33"/>
          <w:sz w:val="17"/>
          <w:szCs w:val="17"/>
        </w:rPr>
        <w:t>процентной надбавки к заработной плате</w:t>
      </w:r>
      <w:r>
        <w:rPr>
          <w:rFonts w:ascii="Verdana" w:hAnsi="Verdana"/>
          <w:color w:val="252D33"/>
          <w:sz w:val="17"/>
          <w:szCs w:val="17"/>
        </w:rPr>
        <w:t>» (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2 ст. 146, ст. 148, ст.ст. 315, 316 и 317 ТК РФ).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Из разных предназначений вознаграждения за труд и компенсационных выплат как отдельных составных частей заработной платы вытекают и различные правовые механизмы установления их размеров.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Согласно ч. 1 ст. 146 и ч. 1 ст. 147 ТК РФ, оплата труда работников, занятых на  работах с вредными и (или) опасными и иными особыми условиями труда, устанавливается в повышенном размере по сравнению с тарифными ставками, окладами (должностными окладами), установленными для различных видов работ с нормальными условиями труда, но не ниже размеров, установленных трудовым законодательством и иными нормативными правовыми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актами, содержащими нормы    трудового права (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2 ст. 147 ТК РФ).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Конкретные размеры повышения оплаты труда этим работникам устанавливаются работодателем с учетом мнения представительного органа работников (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3 ст. 147 ТК РФ), условия об этих компенсационных выплатах являются обязательными для включения в трудовой договор (ч. 2 ст. 57 ТК РФ).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lastRenderedPageBreak/>
        <w:t>В повышенном размере оплачивается также труд работников, занятых на работах в местностях с особыми климатическими условиями (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. 2 ст. 146, ст. 148 ТК РФ). Так, согласно ст. 315 ТК  РФ оплата труда в районах Крайнего Севера и приравненных к ним местностях осуществляется с применением районных коэффициентов и процентных надбавок к заработной плате. </w:t>
      </w:r>
      <w:proofErr w:type="gramStart"/>
      <w:r>
        <w:rPr>
          <w:rFonts w:ascii="Verdana" w:hAnsi="Verdana"/>
          <w:color w:val="252D33"/>
          <w:sz w:val="17"/>
          <w:szCs w:val="17"/>
        </w:rPr>
        <w:t>В соответствии  с ч. 1 ст. 316 и ч. 1 ст. 317 ТК РФ и Законом Российской Федерации от 19 февраля 1993 №  4520-I «О государственных гарантиях и компенсациях для лиц, работающих и проживающих в районах Крайнего Севера и приравненных к ним местностях» (ч. 1 ст. 10 и ч. 1 ст. 11) размеры районных коэффициентов и процентных надбавок к заработной плате</w:t>
      </w:r>
      <w:proofErr w:type="gramEnd"/>
      <w:r>
        <w:rPr>
          <w:rFonts w:ascii="Verdana" w:hAnsi="Verdana"/>
          <w:color w:val="252D33"/>
          <w:sz w:val="17"/>
          <w:szCs w:val="17"/>
        </w:rPr>
        <w:t>, а также порядок  их определения устанавливаются Правительством РФ. При этом органы государственной власти субъектов РФ и органы местного самоуправления вправе за счет средств соответственно бюджетов субъектов РФ и бюджетов муниципальных образований устанавливать более высокие размеры районных коэффициентов и процентных надбавок к заработной плате для учреждений, финансируемых соответственно из средств бюджетов субъектов РФ и муниципальных бюджетов.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«Поскольку Правительство РФ данное полномочие не реализовало, в настоящее время действуют – в части не противоречащей ТК РФ – принятые до введения в действие данного Кодекса нормативные правовые акты, которыми определялся порядок применения районного коэффициента (коэффициента) и процентной надбавки. Наряду с этим сохраняют свое действие нормативные правовые акты, устанавливающие коэффициенты за работу в высокогорных районах, в пустынных и безводных местностях и процентные ставки </w:t>
      </w:r>
      <w:proofErr w:type="gramStart"/>
      <w:r>
        <w:rPr>
          <w:rFonts w:ascii="Verdana" w:hAnsi="Verdana"/>
          <w:color w:val="252D33"/>
          <w:sz w:val="17"/>
          <w:szCs w:val="17"/>
        </w:rPr>
        <w:t>для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работающих в отдельных регионах с особыми климатическими условиями. В соответствии с указанными нормативными правовыми актами районный коэффициент (коэффициент) и процентная надбавка начисляются на фактический заработок работника.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На основе </w:t>
      </w:r>
      <w:proofErr w:type="gramStart"/>
      <w:r>
        <w:rPr>
          <w:rFonts w:ascii="Verdana" w:hAnsi="Verdana"/>
          <w:color w:val="252D33"/>
          <w:sz w:val="17"/>
          <w:szCs w:val="17"/>
        </w:rPr>
        <w:t>действовавшего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на протяжении десятилетий правового регулирования Минтруд России в разъяснении от 11 сентября 1995 года № 3 «О порядке начисления процентных надбавок к заработной плате лицам, работающим в районах Крайнего Севера, приравненных к ним местностях, в южных районах Восточной Сибири, Дальнего Востока, и коэффициентов (районных, за работу в высокогорных районах, за работу в пустынных и безводных местностях)», утвержденном постановлением от 11 сентября 1995 года № 49, подтвердив сложившуюся правоприменительную практику, указал, что процентные надбавки и коэффициенты начисляются на фактический заработок, включая вознаграждения за выслугу лет.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Таким образом, районный коэффициент (коэффициент) и процентная надбавка должны начисляться на заработок, определенный в соответствии с установленной системой оплаты труда» (Постановление Конституционного Суда РФ от 7 декабря 2017 года № 38-П).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Для того</w:t>
      </w:r>
      <w:proofErr w:type="gramStart"/>
      <w:r>
        <w:rPr>
          <w:rFonts w:ascii="Verdana" w:hAnsi="Verdana"/>
          <w:color w:val="252D33"/>
          <w:sz w:val="17"/>
          <w:szCs w:val="17"/>
        </w:rPr>
        <w:t>,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чтобы определить фактический заработок работника следует обратиться (в соответствии с ч. 3 ст. 139 ТК РФ) к постановлению Правительства РФ от 24.12.2007 № 922 «Об особенностях порядка исчисления заработной платы», где, в частности, указываются все виды выплат, которые могут быть предусмотрены системой оплаты труда. К таким видам выплат не относятся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«Конституционный Суд РФ неоднократно подчеркивал необходимость  при установлении системы оплаты труда в равной мере соблюдать как норму, гарантирующую работнику, полностью отработавшему за месяц норму рабочего времени и выполнившему нормы труда (трудовые обязанности), заработную плату не ниже минимального размера оплаты труда, так и правила статей 2, 132, 135, 146, 148, 315, 316 и 317 ТК РФ, в том числе правило об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</w:t>
      </w:r>
      <w:proofErr w:type="gramStart"/>
      <w:r>
        <w:rPr>
          <w:rFonts w:ascii="Verdana" w:hAnsi="Verdana"/>
          <w:color w:val="252D33"/>
          <w:sz w:val="17"/>
          <w:szCs w:val="17"/>
        </w:rPr>
        <w:t>оплате труда, осуществляемого в районах Крайнего Севера и приравненных к ним местностях, в повышенном размере по сравнению с оплатой идентичного труда, выполняемого в нормальных климатических условиях (определения от 1 октября 2009 года № 1160-О-О, от 17 декабря 2009 № 1557-О-О, от 25 февраля 2010 года № 162-О-О и от 25 февраля  2013 года № 327-О)».</w:t>
      </w:r>
      <w:proofErr w:type="gramEnd"/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Таким образом, проведенное сопоставление вознаграждения за труд и компенсационных выплат, выявившее различную правовую природу этих двух составных частей заработной платы, указывает на неправомерность их обезличения или отождествления в составе заработной платы. Следовательно, налицо неправомерность попыток «включения» компенсационных выплат в МРОТ, который является нижней планкой вознаграждения за труд. Подобные действия работодателей – это не что иное, как изъятие в пользу работодателей из заработка работников компенсационных выплат, установленных законодательством, иными нормативными правовыми актами, соглашениями, коллективным и трудовым договорами, прикрываемое имитацией соблюдения конституционной гарантии МРОТ.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Правовая природа </w:t>
      </w:r>
      <w:r>
        <w:rPr>
          <w:rFonts w:ascii="Verdana" w:hAnsi="Verdana"/>
          <w:i/>
          <w:iCs/>
          <w:color w:val="252D33"/>
          <w:sz w:val="17"/>
          <w:szCs w:val="17"/>
        </w:rPr>
        <w:t>третьей составной части</w:t>
      </w:r>
      <w:r>
        <w:rPr>
          <w:rFonts w:ascii="Verdana" w:hAnsi="Verdana"/>
          <w:color w:val="252D33"/>
          <w:sz w:val="17"/>
          <w:szCs w:val="17"/>
        </w:rPr>
        <w:t> </w:t>
      </w:r>
      <w:r>
        <w:rPr>
          <w:rFonts w:ascii="Verdana" w:hAnsi="Verdana"/>
          <w:i/>
          <w:iCs/>
          <w:color w:val="252D33"/>
          <w:sz w:val="17"/>
          <w:szCs w:val="17"/>
        </w:rPr>
        <w:t>заработной платы</w:t>
      </w:r>
      <w:r>
        <w:rPr>
          <w:rFonts w:ascii="Verdana" w:hAnsi="Verdana"/>
          <w:color w:val="252D33"/>
          <w:sz w:val="17"/>
          <w:szCs w:val="17"/>
        </w:rPr>
        <w:t> в виде </w:t>
      </w:r>
      <w:r>
        <w:rPr>
          <w:rFonts w:ascii="Verdana" w:hAnsi="Verdana"/>
          <w:i/>
          <w:iCs/>
          <w:color w:val="252D33"/>
          <w:sz w:val="17"/>
          <w:szCs w:val="17"/>
        </w:rPr>
        <w:t>стимулирующих выплат</w:t>
      </w:r>
      <w:r>
        <w:rPr>
          <w:rFonts w:ascii="Verdana" w:hAnsi="Verdana"/>
          <w:color w:val="252D33"/>
          <w:sz w:val="17"/>
          <w:szCs w:val="17"/>
        </w:rPr>
        <w:t> разительно отличается от правовой природы </w:t>
      </w:r>
      <w:r>
        <w:rPr>
          <w:rFonts w:ascii="Verdana" w:hAnsi="Verdana"/>
          <w:i/>
          <w:iCs/>
          <w:color w:val="252D33"/>
          <w:sz w:val="17"/>
          <w:szCs w:val="17"/>
        </w:rPr>
        <w:t>вознаграждения за труд</w:t>
      </w:r>
      <w:r>
        <w:rPr>
          <w:rFonts w:ascii="Verdana" w:hAnsi="Verdana"/>
          <w:color w:val="252D33"/>
          <w:sz w:val="17"/>
          <w:szCs w:val="17"/>
        </w:rPr>
        <w:t xml:space="preserve"> в целом и устанавливаемой федеральным законом нижней планки вознаграждения за труд - МРОТ, в частности. Право на стимулирующие выплаты, в отличие от права на вознаграждение за труд, не предусмотрено </w:t>
      </w:r>
      <w:r>
        <w:rPr>
          <w:rFonts w:ascii="Verdana" w:hAnsi="Verdana"/>
          <w:color w:val="252D33"/>
          <w:sz w:val="17"/>
          <w:szCs w:val="17"/>
        </w:rPr>
        <w:lastRenderedPageBreak/>
        <w:t>Конституцией РФ. Если нижняя планка вознаграждения за труд - МРОТ устанавливается федеральным законом, то в установлении размеров стимулирующих выплат законодатель не участвует.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Существенны различия в предназначении вознаграждения за труд и стимулирующих выплат. В соответствии с наименованием последних их целью является стимулирование высокоэффективного труда.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Из различной правовой природы и предназначений вознаграждения за труд и стимулирующих выплат вытекает неправомерность действий работодателей, уменьшающих работникам размер заработной платы путем мнимого «включения» последних в величину МРОТ. Является ложным и юридически фиктивным суждение о том, что с «включением» стимулирующих выплат в МРОТ (эквивалентный величине прожиточного минимума, то есть обеспечивающий только физиологическое существование самого работника) указанные выплаты сохранят свое назначение стимулирования высокоэффективного труда. Поэтому попытки «включения» стимулирующих выплат в МРОТ являются, по сути, имитацией соблюдения конституционной гарантии МРОТ и фактической ликвидацией стимулирующих выплат как таковых.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Вопросы установления МРОТ (а не вопросы ограничения заработной платы минимальным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размером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>) являются содержанием статьи 133 ТК РФ, о чем красноречиво говорит наименование данной статьи – «Установление минимального размера   оплаты труда». В   части    третьей ст. 133 ТК РФ содержится императивная норма о том, что </w:t>
      </w:r>
      <w:r>
        <w:rPr>
          <w:rFonts w:ascii="Verdana" w:hAnsi="Verdana"/>
          <w:i/>
          <w:iCs/>
          <w:color w:val="252D33"/>
          <w:sz w:val="17"/>
          <w:szCs w:val="17"/>
        </w:rPr>
        <w:t>месячная заработная плата работника, полностью отработавшего за этот период норму рабочего времени и выполнившего нормы труда </w:t>
      </w:r>
      <w:r>
        <w:rPr>
          <w:rFonts w:ascii="Verdana" w:hAnsi="Verdana"/>
          <w:color w:val="252D33"/>
          <w:sz w:val="17"/>
          <w:szCs w:val="17"/>
        </w:rPr>
        <w:t>(трудовые обязанности), то есть </w:t>
      </w:r>
      <w:r>
        <w:rPr>
          <w:rFonts w:ascii="Verdana" w:hAnsi="Verdana"/>
          <w:i/>
          <w:iCs/>
          <w:color w:val="252D33"/>
          <w:sz w:val="17"/>
          <w:szCs w:val="17"/>
        </w:rPr>
        <w:t>тарифная ставка</w:t>
      </w:r>
      <w:r>
        <w:rPr>
          <w:rFonts w:ascii="Verdana" w:hAnsi="Verdana"/>
          <w:color w:val="252D33"/>
          <w:sz w:val="17"/>
          <w:szCs w:val="17"/>
        </w:rPr>
        <w:t>, </w:t>
      </w:r>
      <w:r>
        <w:rPr>
          <w:rFonts w:ascii="Verdana" w:hAnsi="Verdana"/>
          <w:i/>
          <w:iCs/>
          <w:color w:val="252D33"/>
          <w:sz w:val="17"/>
          <w:szCs w:val="17"/>
        </w:rPr>
        <w:t>оклад (должностной оклад)</w:t>
      </w:r>
      <w:r>
        <w:rPr>
          <w:rFonts w:ascii="Verdana" w:hAnsi="Verdana"/>
          <w:color w:val="252D33"/>
          <w:sz w:val="17"/>
          <w:szCs w:val="17"/>
        </w:rPr>
        <w:t xml:space="preserve">, не может быть ниже МРОТ. Данная норма увязывает установление минимального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размера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(но не установление общего размера оплаты труда в сумме трех самостоятельных частей заработной платы) с выполнением работником </w:t>
      </w:r>
      <w:r>
        <w:rPr>
          <w:rFonts w:ascii="Verdana" w:hAnsi="Verdana"/>
          <w:i/>
          <w:iCs/>
          <w:color w:val="252D33"/>
          <w:sz w:val="17"/>
          <w:szCs w:val="17"/>
        </w:rPr>
        <w:t>нормы рабочего времени,</w:t>
      </w:r>
      <w:r>
        <w:rPr>
          <w:rFonts w:ascii="Verdana" w:hAnsi="Verdana"/>
          <w:color w:val="252D33"/>
          <w:sz w:val="17"/>
          <w:szCs w:val="17"/>
        </w:rPr>
        <w:t> </w:t>
      </w:r>
      <w:r>
        <w:rPr>
          <w:rFonts w:ascii="Verdana" w:hAnsi="Verdana"/>
          <w:i/>
          <w:iCs/>
          <w:color w:val="252D33"/>
          <w:sz w:val="17"/>
          <w:szCs w:val="17"/>
        </w:rPr>
        <w:t>нормы труда, трудовых обязанностей</w:t>
      </w:r>
      <w:r>
        <w:rPr>
          <w:rFonts w:ascii="Verdana" w:hAnsi="Verdana"/>
          <w:color w:val="252D33"/>
          <w:sz w:val="17"/>
          <w:szCs w:val="17"/>
        </w:rPr>
        <w:t xml:space="preserve">. Выполнение работником месячной нормы рабочего времени и нормы труда является условием обычного выполнения своей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работы), оплата которой не может быть ниже МРОТ. </w:t>
      </w:r>
      <w:proofErr w:type="gramStart"/>
      <w:r>
        <w:rPr>
          <w:rFonts w:ascii="Verdana" w:hAnsi="Verdana"/>
          <w:color w:val="252D33"/>
          <w:sz w:val="17"/>
          <w:szCs w:val="17"/>
        </w:rPr>
        <w:t>Однако само по себе выполнение обычного («нормального») труда, то есть выполнение работником месячных нормы рабочего времени и нормы труда не является основанием для выплаты работнику помимо «тарифа» (</w:t>
      </w:r>
      <w:r>
        <w:rPr>
          <w:rFonts w:ascii="Verdana" w:hAnsi="Verdana"/>
          <w:i/>
          <w:iCs/>
          <w:color w:val="252D33"/>
          <w:sz w:val="17"/>
          <w:szCs w:val="17"/>
        </w:rPr>
        <w:t>вознаграждения за труд</w:t>
      </w:r>
      <w:r>
        <w:rPr>
          <w:rFonts w:ascii="Verdana" w:hAnsi="Verdana"/>
          <w:color w:val="252D33"/>
          <w:sz w:val="17"/>
          <w:szCs w:val="17"/>
        </w:rPr>
        <w:t> в виде тарифной ставки, оклада (должностного оклада)) также </w:t>
      </w:r>
      <w:r>
        <w:rPr>
          <w:rFonts w:ascii="Verdana" w:hAnsi="Verdana"/>
          <w:i/>
          <w:iCs/>
          <w:color w:val="252D33"/>
          <w:sz w:val="17"/>
          <w:szCs w:val="17"/>
        </w:rPr>
        <w:t>компенсационных выплат</w:t>
      </w:r>
      <w:r>
        <w:rPr>
          <w:rFonts w:ascii="Verdana" w:hAnsi="Verdana"/>
          <w:color w:val="252D33"/>
          <w:sz w:val="17"/>
          <w:szCs w:val="17"/>
        </w:rPr>
        <w:t> (доплат и надбавок компенсационного характера и </w:t>
      </w:r>
      <w:r>
        <w:rPr>
          <w:rFonts w:ascii="Verdana" w:hAnsi="Verdana"/>
          <w:i/>
          <w:iCs/>
          <w:color w:val="252D33"/>
          <w:sz w:val="17"/>
          <w:szCs w:val="17"/>
        </w:rPr>
        <w:t>стимулирующих выплат</w:t>
      </w:r>
      <w:r>
        <w:rPr>
          <w:rFonts w:ascii="Verdana" w:hAnsi="Verdana"/>
          <w:color w:val="252D33"/>
          <w:sz w:val="17"/>
          <w:szCs w:val="17"/>
        </w:rPr>
        <w:t> (доплат и надбавок стимулирующего характера, премий и иных поощрительных выплат).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Отсюда вытекает вывод, что в вознаграждение за труд не ниже МРОТ не могут «включаться» компенсационные выплаты и стимулирующие выплаты. Так, стимулирующие выплаты, являясь частью заработной платы (но не частью МРОТ), предназначены для стимулирования высокоэффективного труда. Фиктивное «включение» стимулирующих выплат в МРОТ (предназначенный обеспечивать лишь физиологическое существование самого работника), влечет ликвидацию стимулирующих выплат как таковых, превращение стимулирующих выплат в юридическую фикцию.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«В силу прямого предписания Конституции РФ (статья 37, часть 3) минимальный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должен быть обеспечен всем работающим по трудовому договору, то есть является общей гарантией, предоставляемой работникам независимо от того, в какой местности осуществляется трудовая деятельность; в соответствии с 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1 ст. 133 ТК РФ величина минимального размера оплаты труда устанавливается одновременно на всей территории Российской Федерации, то есть без учета природно-климатических условий различных регионов страны.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Следовательно, повышенная оплата труда в связи с работой в особых климатических условиях должна производиться после определения размера заработной платы и выполнения конституционного требования об обеспечении минимального размера оплаты труда, а значит, районный коэффициент (коэффициент) и процентная надбавка, начисляемые в связи с работой в местностях с особыми климатическими условиями, в том числе в районах Крайнего Севера и приравненных к ним местностях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, не могут включаться в состав минимального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размера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>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В противном случае месячная заработная плата работников, полностью отработавших норму рабочего времени в местностях с особыми климатическими условиями, могла бы по своему размеру не отличаться от оплаты труда лиц, работающих в регионах с благоприятным климатом. Таким образом, гарантия повышенной оплаты труда в связи с работой в особых климатических условиях утрачивала бы реальное содержание, превращаясь в фикцию, а право граждан на компенсацию повышенных затрат, обусловленных работой и проживанием в неблагоприятных условиях, оказалось бы нарушенным.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Нарушались бы и конституционные принципы равенства и справедливости, из которых вытекает обязанность государства установить такое правовое регулирование в сфере оплаты труда, которое обеспечивает основанную на объективных критериях, включая учет природно-климатических </w:t>
      </w:r>
      <w:r>
        <w:rPr>
          <w:rFonts w:ascii="Verdana" w:hAnsi="Verdana"/>
          <w:color w:val="252D33"/>
          <w:sz w:val="17"/>
          <w:szCs w:val="17"/>
        </w:rPr>
        <w:lastRenderedPageBreak/>
        <w:t>условий осуществления трудовой деятельности, заработную плату всем работающим и не допускает применения одинаковых правил к работникам, находящимся в разном положении.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Поглощение выплат, специально установленных для возмещения дополнительных материальных и физиологических затрат работников, связанных с климатическими условиями, минимальным размером оплаты труда, по существу, приводило бы к искажению правовой природы как этой гарантии, так и самих указанных выплат, что недопустимо в силу предписаний статьи 37 (часть 3) Конституции РФ и принципов правового регулирования трудовых правоотношений» (Постановление Конституционного Суда РФ от 7 декабря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</w:t>
      </w:r>
      <w:proofErr w:type="gramStart"/>
      <w:r>
        <w:rPr>
          <w:rFonts w:ascii="Verdana" w:hAnsi="Verdana"/>
          <w:color w:val="252D33"/>
          <w:sz w:val="17"/>
          <w:szCs w:val="17"/>
        </w:rPr>
        <w:t>2017 года № 38-П).</w:t>
      </w:r>
      <w:proofErr w:type="gramEnd"/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Чтобы предоставить субъектам РФ возможность самим регулировать отношения, связанные с увеличением МРОТ, не нарушая при этом положение ч. 3 ст. 37 Конституции РФ об установлении МРОТ федеральным законом, законодатель дополнил ТК РФ (Федеральным законом от 20.04.2007 № 54-ФЗ) новой статьей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> «Установление размера минимальной заработной платы в субъекте Российской Федерации». Таким образом, было предложено субъектам РФ с учетом существующих в каждом из них социально-экономических условий и величины прожиточного минимума трудоспособного населения, самостоятельно повышать минимальное вознаграждение за труд путем приня</w:t>
      </w:r>
      <w:r>
        <w:rPr>
          <w:rFonts w:ascii="Verdana" w:hAnsi="Verdana"/>
          <w:color w:val="252D33"/>
          <w:sz w:val="17"/>
          <w:szCs w:val="17"/>
        </w:rPr>
        <w:softHyphen/>
        <w:t>тия «специального» регионального соглашения о минимальной заработной плате, т.е. в договорном порядке.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«Минимальная заработная плата в субъекте Российской Федерации устанавливается в целях повышения уровня оплаты труда, если экономика региона развивается стабильно и создает условия для возможности учета величины прожиточного минимума трудоспособного населения в субъекте Российской Федерации. При этом статья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 xml:space="preserve"> ТК РФ не предусматривает полномочия социальных партнеров, заключающих указанное соглашение, помимо размера минимальной заработной платы самостоятельно определять правила о включении в нее каких-либо выплат, в частности районных коэффициентов (коэффициентов) и процентных надбавок. Следовательно, при заключении регионального соглашения о минимальной заработной плате в субъекте Российской Федерации трехсторонняя комиссия по регулированию социально-трудовых отношений соответствующего субъекта Российской Федерации должна руководствоваться общими правилами определения содержания соглашения, установленными статьями 45 и 46 Трудового кодекса Российской Федерации. </w:t>
      </w:r>
      <w:proofErr w:type="gramStart"/>
      <w:r>
        <w:rPr>
          <w:rFonts w:ascii="Verdana" w:hAnsi="Verdana"/>
          <w:color w:val="252D33"/>
          <w:sz w:val="17"/>
          <w:szCs w:val="17"/>
        </w:rPr>
        <w:t>В частности, согласно части первой статьи 45 данного Кодекса полномочные представители работников и работодателей на всех уровнях социального партнерства, в том числе на региональном, должны действовать в пределах их компетенции.</w:t>
      </w:r>
      <w:proofErr w:type="gramEnd"/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Таким образом, минимальная заработная плата в субъекте Российской Федерации представляет собой установленную в системе социального партнерства дополнительную гарантию, которая не заменяет гарантии, предусмотренные федеральным законом, в том числе повышенную оплату труда в связи с работой в местностях с особыми климатическими условиями» (Постановление Конституционного Суда РФ от 7 декабря 2017 года № 38-П).</w:t>
      </w:r>
      <w:proofErr w:type="gramEnd"/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Как видно из наименования и содержания ст.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> ТК РФ, в ней речь идет не о МРОТ, который устанавливается только федеральным законом, а о РМЗП в субъекте РФ, который устанавливается не законом или иным нормативным правовым актом, а правовым договорным актом, то есть «специальным» региональным со</w:t>
      </w:r>
      <w:r>
        <w:rPr>
          <w:rFonts w:ascii="Verdana" w:hAnsi="Verdana"/>
          <w:color w:val="252D33"/>
          <w:sz w:val="17"/>
          <w:szCs w:val="17"/>
        </w:rPr>
        <w:softHyphen/>
        <w:t>глашением о минимальной заработной плате. Однако и федеральный МРОТ, и региональный РМЗП в составе заработной платы обладают одинаковым качеством по отношению к компенсационным и стимулирующим выплатам. Дело в том, что МРОТ – это минимальное вознаграждение за труд, устанавливаемое федеральным законом, а РМЗП – это минимальное вознаграждение за труд не ниже МРОТ, устанавливаемое «</w:t>
      </w:r>
      <w:r>
        <w:rPr>
          <w:rFonts w:ascii="Verdana" w:hAnsi="Verdana"/>
          <w:i/>
          <w:iCs/>
          <w:color w:val="252D33"/>
          <w:sz w:val="17"/>
          <w:szCs w:val="17"/>
        </w:rPr>
        <w:t>специальным</w:t>
      </w:r>
      <w:r>
        <w:rPr>
          <w:rFonts w:ascii="Verdana" w:hAnsi="Verdana"/>
          <w:color w:val="252D33"/>
          <w:sz w:val="17"/>
          <w:szCs w:val="17"/>
        </w:rPr>
        <w:t>» региональным соглашением о минимальной заработной плате в субъекте РФ. Следовательно, «включение» в РМЗП компенсационных и стимулирующих выплат так же недопустимо, как и «включение» указанных выплат в МРОТ.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«По своему содержанию приведенное положение полностью совпадает с частью третьей статьи 133 данного Кодекса, устанавливающей, что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размера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>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Таким образом, закрепляя возможность в рамках трехстороннего сотрудничества устанавливать минимальную заработную плату в субъекте Российской Федерации, федеральный законодатель исходил из того, что в механизме правового регулирования оплаты труда такая дополнительная гарантия будет в соответствующих случаях применяться вместо величины минимального размера оплаты труда, установленного федеральным законом, не заменяя и не отменяя иных гарантий, предусмотренных Трудовым кодексом Российской Федерации», (Постановление Конституционного Суда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</w:t>
      </w:r>
      <w:proofErr w:type="gramStart"/>
      <w:r>
        <w:rPr>
          <w:rFonts w:ascii="Verdana" w:hAnsi="Verdana"/>
          <w:color w:val="252D33"/>
          <w:sz w:val="17"/>
          <w:szCs w:val="17"/>
        </w:rPr>
        <w:t>РФ от 7 декабря 2017 года № 38-П).</w:t>
      </w:r>
      <w:proofErr w:type="gramEnd"/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 xml:space="preserve">Как видно, Конституционный Суд РФ обратил внимание представителей сторон трехсторонних комиссий субъектов РФ при заключении «специального» регионального соглашения о минимальной </w:t>
      </w:r>
      <w:r>
        <w:rPr>
          <w:rFonts w:ascii="Verdana" w:hAnsi="Verdana"/>
          <w:color w:val="252D33"/>
          <w:sz w:val="17"/>
          <w:szCs w:val="17"/>
        </w:rPr>
        <w:lastRenderedPageBreak/>
        <w:t>заработной плате вместо МРОТ устанавливать РМЗП таким образом, чтобы в него не включались какие-либо компенсационные и стимулирующие выплаты.</w:t>
      </w:r>
      <w:proofErr w:type="gramEnd"/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Таким образом, учитывая изложенное, совершенно очевидно, что в соответствии с 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3 ст. 133 ТК РФ месячная заработная плата работника, полностью отработавшего за этот период норму рабочего времени и выполнившего норму труда, не может быть ниже </w:t>
      </w:r>
      <w:r>
        <w:rPr>
          <w:rFonts w:ascii="Verdana" w:hAnsi="Verdana"/>
          <w:i/>
          <w:iCs/>
          <w:color w:val="252D33"/>
          <w:sz w:val="17"/>
          <w:szCs w:val="17"/>
        </w:rPr>
        <w:t>МРОТ</w:t>
      </w:r>
      <w:r>
        <w:rPr>
          <w:rFonts w:ascii="Verdana" w:hAnsi="Verdana"/>
          <w:color w:val="252D33"/>
          <w:sz w:val="17"/>
          <w:szCs w:val="17"/>
        </w:rPr>
        <w:t>, а также согласно    ч. 11 ст.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> ТК РФ не ниже </w:t>
      </w:r>
      <w:r>
        <w:rPr>
          <w:rFonts w:ascii="Verdana" w:hAnsi="Verdana"/>
          <w:i/>
          <w:iCs/>
          <w:color w:val="252D33"/>
          <w:sz w:val="17"/>
          <w:szCs w:val="17"/>
        </w:rPr>
        <w:t>РМЗП</w:t>
      </w:r>
      <w:r>
        <w:rPr>
          <w:rFonts w:ascii="Verdana" w:hAnsi="Verdana"/>
          <w:color w:val="252D33"/>
          <w:sz w:val="17"/>
          <w:szCs w:val="17"/>
        </w:rPr>
        <w:t>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Как видно, при установлении </w:t>
      </w:r>
      <w:r>
        <w:rPr>
          <w:rFonts w:ascii="Verdana" w:hAnsi="Verdana"/>
          <w:i/>
          <w:iCs/>
          <w:color w:val="252D33"/>
          <w:sz w:val="17"/>
          <w:szCs w:val="17"/>
        </w:rPr>
        <w:t>месячной заработной платы</w:t>
      </w:r>
      <w:r>
        <w:rPr>
          <w:rFonts w:ascii="Verdana" w:hAnsi="Verdana"/>
          <w:color w:val="252D33"/>
          <w:sz w:val="17"/>
          <w:szCs w:val="17"/>
        </w:rPr>
        <w:t xml:space="preserve"> работника в соответствии с 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3 ст. 133 и ч. 11 ст.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> ТК РФ речь идет о </w:t>
      </w:r>
      <w:r>
        <w:rPr>
          <w:rFonts w:ascii="Verdana" w:hAnsi="Verdana"/>
          <w:i/>
          <w:iCs/>
          <w:color w:val="252D33"/>
          <w:sz w:val="17"/>
          <w:szCs w:val="17"/>
        </w:rPr>
        <w:t>месячном вознаграждении за труд </w:t>
      </w:r>
      <w:r>
        <w:rPr>
          <w:rFonts w:ascii="Verdana" w:hAnsi="Verdana"/>
          <w:color w:val="252D33"/>
          <w:sz w:val="17"/>
          <w:szCs w:val="17"/>
        </w:rPr>
        <w:t>в системе оплаты труда в виде тарифной  ставки (должностного оклада) не ниже МРОТ и соответственно РМЗП.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i/>
          <w:iCs/>
          <w:color w:val="252D33"/>
          <w:sz w:val="17"/>
          <w:szCs w:val="17"/>
        </w:rPr>
        <w:t>Тарифная ставка</w:t>
      </w:r>
      <w:r>
        <w:rPr>
          <w:rFonts w:ascii="Verdana" w:hAnsi="Verdana"/>
          <w:color w:val="252D33"/>
          <w:sz w:val="17"/>
          <w:szCs w:val="17"/>
        </w:rPr>
        <w:t xml:space="preserve"> - фиксированный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работника за выполнение </w:t>
      </w:r>
      <w:r>
        <w:rPr>
          <w:rFonts w:ascii="Verdana" w:hAnsi="Verdana"/>
          <w:i/>
          <w:iCs/>
          <w:color w:val="252D33"/>
          <w:sz w:val="17"/>
          <w:szCs w:val="17"/>
        </w:rPr>
        <w:t>нормы труда</w:t>
      </w:r>
      <w:r>
        <w:rPr>
          <w:rFonts w:ascii="Verdana" w:hAnsi="Verdana"/>
          <w:color w:val="252D33"/>
          <w:sz w:val="17"/>
          <w:szCs w:val="17"/>
        </w:rPr>
        <w:t> </w:t>
      </w:r>
      <w:r>
        <w:rPr>
          <w:rFonts w:ascii="Verdana" w:hAnsi="Verdana"/>
          <w:i/>
          <w:iCs/>
          <w:color w:val="252D33"/>
          <w:sz w:val="17"/>
          <w:szCs w:val="17"/>
        </w:rPr>
        <w:t>определенной сложности (квалификации)</w:t>
      </w:r>
      <w:r>
        <w:rPr>
          <w:rFonts w:ascii="Verdana" w:hAnsi="Verdana"/>
          <w:color w:val="252D33"/>
          <w:sz w:val="17"/>
          <w:szCs w:val="17"/>
        </w:rPr>
        <w:t> за </w:t>
      </w:r>
      <w:r>
        <w:rPr>
          <w:rFonts w:ascii="Verdana" w:hAnsi="Verdana"/>
          <w:i/>
          <w:iCs/>
          <w:color w:val="252D33"/>
          <w:sz w:val="17"/>
          <w:szCs w:val="17"/>
        </w:rPr>
        <w:t>единицу времени</w:t>
      </w:r>
      <w:r>
        <w:rPr>
          <w:rFonts w:ascii="Verdana" w:hAnsi="Verdana"/>
          <w:color w:val="252D33"/>
          <w:sz w:val="17"/>
          <w:szCs w:val="17"/>
        </w:rPr>
        <w:t> </w:t>
      </w:r>
      <w:r>
        <w:rPr>
          <w:rFonts w:ascii="Verdana" w:hAnsi="Verdana"/>
          <w:i/>
          <w:iCs/>
          <w:color w:val="252D33"/>
          <w:sz w:val="17"/>
          <w:szCs w:val="17"/>
        </w:rPr>
        <w:t>без учета компенсационных, стимулирующих и социальных выплат</w:t>
      </w:r>
      <w:r>
        <w:rPr>
          <w:rFonts w:ascii="Verdana" w:hAnsi="Verdana"/>
          <w:color w:val="252D33"/>
          <w:sz w:val="17"/>
          <w:szCs w:val="17"/>
        </w:rPr>
        <w:t>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i/>
          <w:iCs/>
          <w:color w:val="252D33"/>
          <w:sz w:val="17"/>
          <w:szCs w:val="17"/>
        </w:rPr>
        <w:t>Оклад (должностной оклад)</w:t>
      </w:r>
      <w:r>
        <w:rPr>
          <w:rFonts w:ascii="Verdana" w:hAnsi="Verdana"/>
          <w:color w:val="252D33"/>
          <w:sz w:val="17"/>
          <w:szCs w:val="17"/>
        </w:rPr>
        <w:t> - фиксированный размер оплаты труда работника за исполнение </w:t>
      </w:r>
      <w:r>
        <w:rPr>
          <w:rFonts w:ascii="Verdana" w:hAnsi="Verdana"/>
          <w:i/>
          <w:iCs/>
          <w:color w:val="252D33"/>
          <w:sz w:val="17"/>
          <w:szCs w:val="17"/>
        </w:rPr>
        <w:t>трудовых (должностных</w:t>
      </w:r>
      <w:proofErr w:type="gramStart"/>
      <w:r>
        <w:rPr>
          <w:rFonts w:ascii="Verdana" w:hAnsi="Verdana"/>
          <w:i/>
          <w:iCs/>
          <w:color w:val="252D33"/>
          <w:sz w:val="17"/>
          <w:szCs w:val="17"/>
        </w:rPr>
        <w:t>)о</w:t>
      </w:r>
      <w:proofErr w:type="gramEnd"/>
      <w:r>
        <w:rPr>
          <w:rFonts w:ascii="Verdana" w:hAnsi="Verdana"/>
          <w:i/>
          <w:iCs/>
          <w:color w:val="252D33"/>
          <w:sz w:val="17"/>
          <w:szCs w:val="17"/>
        </w:rPr>
        <w:t>бязанностей</w:t>
      </w:r>
      <w:r>
        <w:rPr>
          <w:rFonts w:ascii="Verdana" w:hAnsi="Verdana"/>
          <w:color w:val="252D33"/>
          <w:sz w:val="17"/>
          <w:szCs w:val="17"/>
        </w:rPr>
        <w:t> определенной </w:t>
      </w:r>
      <w:r>
        <w:rPr>
          <w:rFonts w:ascii="Verdana" w:hAnsi="Verdana"/>
          <w:i/>
          <w:iCs/>
          <w:color w:val="252D33"/>
          <w:sz w:val="17"/>
          <w:szCs w:val="17"/>
        </w:rPr>
        <w:t>сложности за календарный месяц</w:t>
      </w:r>
      <w:r>
        <w:rPr>
          <w:rFonts w:ascii="Verdana" w:hAnsi="Verdana"/>
          <w:color w:val="252D33"/>
          <w:sz w:val="17"/>
          <w:szCs w:val="17"/>
        </w:rPr>
        <w:t> </w:t>
      </w:r>
      <w:r>
        <w:rPr>
          <w:rFonts w:ascii="Verdana" w:hAnsi="Verdana"/>
          <w:i/>
          <w:iCs/>
          <w:color w:val="252D33"/>
          <w:sz w:val="17"/>
          <w:szCs w:val="17"/>
        </w:rPr>
        <w:t>без учета компенсационных, стимулирующих и социальных выплат</w:t>
      </w:r>
      <w:r>
        <w:rPr>
          <w:rFonts w:ascii="Verdana" w:hAnsi="Verdana"/>
          <w:color w:val="252D33"/>
          <w:sz w:val="17"/>
          <w:szCs w:val="17"/>
        </w:rPr>
        <w:t>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При проведении комплексного сравнительного анализа содержания 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3 ст. 133 и ч. 11 ст.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> следует, что содержание последних идентично содержанию  тарифной  ставки и оклада (должностного оклада)  (части 3 и 4 ст. 129 ТК РФ).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 xml:space="preserve">Следуя позиции Конституционного Суда РФ, выраженной в п. 3 </w:t>
      </w:r>
      <w:proofErr w:type="spellStart"/>
      <w:r>
        <w:rPr>
          <w:rFonts w:ascii="Verdana" w:hAnsi="Verdana"/>
          <w:color w:val="252D33"/>
          <w:sz w:val="17"/>
          <w:szCs w:val="17"/>
        </w:rPr>
        <w:t>резулятивной</w:t>
      </w:r>
      <w:proofErr w:type="spellEnd"/>
      <w:r>
        <w:rPr>
          <w:rFonts w:ascii="Verdana" w:hAnsi="Verdana"/>
          <w:color w:val="252D33"/>
          <w:sz w:val="17"/>
          <w:szCs w:val="17"/>
        </w:rPr>
        <w:t xml:space="preserve"> части рассматриваемого Постановления, о том, что «Федеральный законодатель  правомочен при совершенствовании законодательства в сфере оплаты труда, в том числе на основе выраженных в настоящем Постановлении правовых позиций Конституционного Суда Российской Федерации, учесть сложившуюся в системе социального партнерства практику определения тарифной ставки (оклада) первого разряда не ниже величины минимального размера оплаты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труда, установленного федеральным законом», необходимо признать, что </w:t>
      </w:r>
      <w:r>
        <w:rPr>
          <w:rFonts w:ascii="Verdana" w:hAnsi="Verdana"/>
          <w:i/>
          <w:iCs/>
          <w:color w:val="252D33"/>
          <w:sz w:val="17"/>
          <w:szCs w:val="17"/>
        </w:rPr>
        <w:t>минимальный размер месячного вознаграждения за труд в виде минимального размера тарифной ставки, оклада (должностного оклада)</w:t>
      </w:r>
      <w:r>
        <w:rPr>
          <w:rFonts w:ascii="Verdana" w:hAnsi="Verdana"/>
          <w:color w:val="252D33"/>
          <w:sz w:val="17"/>
          <w:szCs w:val="17"/>
        </w:rPr>
        <w:t> работника, полностью отработавшего за этот период </w:t>
      </w:r>
      <w:r>
        <w:rPr>
          <w:rFonts w:ascii="Verdana" w:hAnsi="Verdana"/>
          <w:i/>
          <w:iCs/>
          <w:color w:val="252D33"/>
          <w:sz w:val="17"/>
          <w:szCs w:val="17"/>
        </w:rPr>
        <w:t>норму рабочего времени</w:t>
      </w:r>
      <w:r>
        <w:rPr>
          <w:rFonts w:ascii="Verdana" w:hAnsi="Verdana"/>
          <w:color w:val="252D33"/>
          <w:sz w:val="17"/>
          <w:szCs w:val="17"/>
        </w:rPr>
        <w:t> и выполнившего </w:t>
      </w:r>
      <w:r>
        <w:rPr>
          <w:rFonts w:ascii="Verdana" w:hAnsi="Verdana"/>
          <w:i/>
          <w:iCs/>
          <w:color w:val="252D33"/>
          <w:sz w:val="17"/>
          <w:szCs w:val="17"/>
        </w:rPr>
        <w:t>нормы труда (трудовые обязанности)</w:t>
      </w:r>
      <w:r>
        <w:rPr>
          <w:rFonts w:ascii="Verdana" w:hAnsi="Verdana"/>
          <w:color w:val="252D33"/>
          <w:sz w:val="17"/>
          <w:szCs w:val="17"/>
        </w:rPr>
        <w:t>, не может быть ниже </w:t>
      </w:r>
      <w:r>
        <w:rPr>
          <w:rFonts w:ascii="Verdana" w:hAnsi="Verdana"/>
          <w:i/>
          <w:iCs/>
          <w:color w:val="252D33"/>
          <w:sz w:val="17"/>
          <w:szCs w:val="17"/>
        </w:rPr>
        <w:t>величины МРОТ</w:t>
      </w:r>
      <w:r>
        <w:rPr>
          <w:rFonts w:ascii="Verdana" w:hAnsi="Verdana"/>
          <w:color w:val="252D33"/>
          <w:sz w:val="17"/>
          <w:szCs w:val="17"/>
        </w:rPr>
        <w:t>, установленного федеральным законом.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Совершенно очевидно, что компенсационные и стимулирующие выплаты могут начисляться только на  размер месячного вознаграждения за труд, указанный в </w:t>
      </w:r>
      <w:proofErr w:type="gramStart"/>
      <w:r>
        <w:rPr>
          <w:rFonts w:ascii="Verdana" w:hAnsi="Verdana"/>
          <w:color w:val="252D33"/>
          <w:sz w:val="17"/>
          <w:szCs w:val="17"/>
        </w:rPr>
        <w:t>ч</w:t>
      </w:r>
      <w:proofErr w:type="gramEnd"/>
      <w:r>
        <w:rPr>
          <w:rFonts w:ascii="Verdana" w:hAnsi="Verdana"/>
          <w:color w:val="252D33"/>
          <w:sz w:val="17"/>
          <w:szCs w:val="17"/>
        </w:rPr>
        <w:t>. 3 ст. 133 и ч. 11 ст. 133</w:t>
      </w:r>
      <w:r>
        <w:rPr>
          <w:rFonts w:ascii="Verdana" w:hAnsi="Verdana"/>
          <w:color w:val="252D33"/>
          <w:sz w:val="17"/>
          <w:szCs w:val="17"/>
          <w:vertAlign w:val="superscript"/>
        </w:rPr>
        <w:t>1</w:t>
      </w:r>
      <w:r>
        <w:rPr>
          <w:rFonts w:ascii="Verdana" w:hAnsi="Verdana"/>
          <w:color w:val="252D33"/>
          <w:sz w:val="17"/>
          <w:szCs w:val="17"/>
        </w:rPr>
        <w:t> ТК РФ в виде тарифной ставки и оклада (должностного оклада) в соответствии с системой оплаты труда, действующей у работодателя.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При этом ст.ст. 316 и 317 ТК РФ, Закон РФ от 19 февраля  1993 года   № 4520-I «О государственных гарантиях и </w:t>
      </w:r>
      <w:proofErr w:type="gramStart"/>
      <w:r>
        <w:rPr>
          <w:rFonts w:ascii="Verdana" w:hAnsi="Verdana"/>
          <w:color w:val="252D33"/>
          <w:sz w:val="17"/>
          <w:szCs w:val="17"/>
        </w:rPr>
        <w:t>компенсациях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для лиц работающих и проживающих в районах Крайнего Севера и приравненных к ним местностях» (часть 1 ст. 10 и ч. 1 ст. 11) возлагают определение районного коэффициента и порядок его применения, а также определение размера процентной надбавки к заработной плате за стаж работы в данных районах или местностях и порядок ее выплаты на Правительство РФ.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proofErr w:type="gramStart"/>
      <w:r>
        <w:rPr>
          <w:rFonts w:ascii="Verdana" w:hAnsi="Verdana"/>
          <w:color w:val="252D33"/>
          <w:sz w:val="17"/>
          <w:szCs w:val="17"/>
        </w:rPr>
        <w:t>В соответствии с разъяснением Минтруда России от 11 сентября 1995 года № 3 «О порядке начисления процентных надбавок к заработной плате лицам, работающим в районах Крайнего Севера, приравненных к ним местностях, в южных районах Восточной Сибири, Дальнего Востока, и коэффициентов (районных, за работу в высокогорных районах, за работу в пустынных и безводных местностях)», утвержденном своим постановлением от 11 сентября 1995 года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№ 49, указано, что процентные надбавки и коэффициенты начисляются на фактический заработок.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Таким образом, как указывается в Постановлении Конституционного Суда РФ от 7 декабря 2017 года № 38-П, «</w:t>
      </w:r>
      <w:r>
        <w:rPr>
          <w:rFonts w:ascii="Verdana" w:hAnsi="Verdana"/>
          <w:i/>
          <w:iCs/>
          <w:color w:val="252D33"/>
          <w:sz w:val="17"/>
          <w:szCs w:val="17"/>
        </w:rPr>
        <w:t>районный коэффициент (коэффициент) </w:t>
      </w:r>
      <w:r>
        <w:rPr>
          <w:rFonts w:ascii="Verdana" w:hAnsi="Verdana"/>
          <w:color w:val="252D33"/>
          <w:sz w:val="17"/>
          <w:szCs w:val="17"/>
        </w:rPr>
        <w:t>и</w:t>
      </w:r>
      <w:r>
        <w:rPr>
          <w:rFonts w:ascii="Verdana" w:hAnsi="Verdana"/>
          <w:i/>
          <w:iCs/>
          <w:color w:val="252D33"/>
          <w:sz w:val="17"/>
          <w:szCs w:val="17"/>
        </w:rPr>
        <w:t> процентная надбавка</w:t>
      </w:r>
      <w:r>
        <w:rPr>
          <w:rFonts w:ascii="Verdana" w:hAnsi="Verdana"/>
          <w:color w:val="252D33"/>
          <w:sz w:val="17"/>
          <w:szCs w:val="17"/>
        </w:rPr>
        <w:t> должны начисляться на заработок, определенный в соответствии с установленной </w:t>
      </w:r>
      <w:r>
        <w:rPr>
          <w:rFonts w:ascii="Verdana" w:hAnsi="Verdana"/>
          <w:i/>
          <w:iCs/>
          <w:color w:val="252D33"/>
          <w:sz w:val="17"/>
          <w:szCs w:val="17"/>
        </w:rPr>
        <w:t>системой оплаты труда»</w:t>
      </w:r>
      <w:r>
        <w:rPr>
          <w:rFonts w:ascii="Verdana" w:hAnsi="Verdana"/>
          <w:color w:val="252D33"/>
          <w:sz w:val="17"/>
          <w:szCs w:val="17"/>
        </w:rPr>
        <w:t>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В развитие этого положения Постановления Конституционного Суда РФ стороны Российской трехсторонней комиссии по регулированию социально-трудовых отношений (далее – РТК) взяли обязательство «обеспечивать начисление </w:t>
      </w:r>
      <w:r>
        <w:rPr>
          <w:rFonts w:ascii="Verdana" w:hAnsi="Verdana"/>
          <w:i/>
          <w:iCs/>
          <w:color w:val="252D33"/>
          <w:sz w:val="17"/>
          <w:szCs w:val="17"/>
        </w:rPr>
        <w:t>районных коэффициентов</w:t>
      </w:r>
      <w:r>
        <w:rPr>
          <w:rFonts w:ascii="Verdana" w:hAnsi="Verdana"/>
          <w:color w:val="252D33"/>
          <w:sz w:val="17"/>
          <w:szCs w:val="17"/>
        </w:rPr>
        <w:t> и </w:t>
      </w:r>
      <w:r>
        <w:rPr>
          <w:rFonts w:ascii="Verdana" w:hAnsi="Verdana"/>
          <w:i/>
          <w:iCs/>
          <w:color w:val="252D33"/>
          <w:sz w:val="17"/>
          <w:szCs w:val="17"/>
        </w:rPr>
        <w:t>процентных надбавок</w:t>
      </w:r>
      <w:r>
        <w:rPr>
          <w:rFonts w:ascii="Verdana" w:hAnsi="Verdana"/>
          <w:color w:val="252D33"/>
          <w:sz w:val="17"/>
          <w:szCs w:val="17"/>
        </w:rPr>
        <w:t> </w:t>
      </w:r>
      <w:r>
        <w:rPr>
          <w:rFonts w:ascii="Verdana" w:hAnsi="Verdana"/>
          <w:i/>
          <w:iCs/>
          <w:color w:val="252D33"/>
          <w:sz w:val="17"/>
          <w:szCs w:val="17"/>
        </w:rPr>
        <w:t>к заработной плате</w:t>
      </w:r>
      <w:r>
        <w:rPr>
          <w:rFonts w:ascii="Verdana" w:hAnsi="Verdana"/>
          <w:color w:val="252D33"/>
          <w:sz w:val="17"/>
          <w:szCs w:val="17"/>
        </w:rPr>
        <w:t> за стаж   работы в районах Крайнего Севера и приравненных к ним местностях» (п. 2.6 Генерального соглашения).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lastRenderedPageBreak/>
        <w:t>Стороны РТК также обязуются «гарантировать обеспечение выполнения в полном объеме действующих гарантий и компенсаций лицам, работающим и проживающим в районах Крайнего Севера и приравненных к ним местностях» (</w:t>
      </w:r>
      <w:proofErr w:type="spellStart"/>
      <w:r>
        <w:rPr>
          <w:rFonts w:ascii="Verdana" w:hAnsi="Verdana"/>
          <w:color w:val="252D33"/>
          <w:sz w:val="17"/>
          <w:szCs w:val="17"/>
        </w:rPr>
        <w:t>абз</w:t>
      </w:r>
      <w:proofErr w:type="spellEnd"/>
      <w:r>
        <w:rPr>
          <w:rFonts w:ascii="Verdana" w:hAnsi="Verdana"/>
          <w:color w:val="252D33"/>
          <w:sz w:val="17"/>
          <w:szCs w:val="17"/>
        </w:rPr>
        <w:t>. 3 п. 6.2 Генерального соглашения).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i/>
          <w:iCs/>
          <w:color w:val="252D33"/>
          <w:sz w:val="17"/>
          <w:szCs w:val="17"/>
        </w:rPr>
        <w:t>В соответствии со статьей 6 Федерального конституционного закона от 21.07.1994 г. № 1-ФКЗ «О Конституционном Суде Российской Федерации» решения Конституционного Суда Российской Федерации обязательны на всей территории Российской Федерации для всех представительных, исполнительных и судебных органов государственной власти, органов местного самоуправления, предприятий, учреждений, организаций, должностных лиц, граждан и их объединений.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В целях реализации положений Постановления Конституционного Суда РФ от 7 декабря 2017 года № 38-П Исполнительный комитет ФНПР постановляет: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1. Информацию секретаря ФНПР Н.Г. Гладкова принять к сведению.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2. Отметить неизменность позиции ФНПР и её членских организаций о величине МРОТ как конституционной гарантии минимального размера вознаграждения за труд, установленного законодательством.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3. Руководству ФНПР: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3.1. Обратиться к депутатам Государственной Думы Федерального Собрания Российской Федерации - членам </w:t>
      </w:r>
      <w:proofErr w:type="spellStart"/>
      <w:r>
        <w:rPr>
          <w:rFonts w:ascii="Verdana" w:hAnsi="Verdana"/>
          <w:color w:val="252D33"/>
          <w:sz w:val="17"/>
          <w:szCs w:val="17"/>
        </w:rPr>
        <w:t>межфракционной</w:t>
      </w:r>
      <w:proofErr w:type="spellEnd"/>
      <w:r>
        <w:rPr>
          <w:rFonts w:ascii="Verdana" w:hAnsi="Verdana"/>
          <w:color w:val="252D33"/>
          <w:sz w:val="17"/>
          <w:szCs w:val="17"/>
        </w:rPr>
        <w:t xml:space="preserve"> депутатской группы по взаимодействию с профсоюзным движением «Солидарность» с предложением выступить с законодательной инициативой по совершенствованию законодательства в сфере оплаты труда на основе  позиций    Конституционного    Суда    РФ, выраженных в постановлении      от 7 декабря 2017 года № 38-П;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3.2. </w:t>
      </w:r>
      <w:proofErr w:type="gramStart"/>
      <w:r>
        <w:rPr>
          <w:rFonts w:ascii="Verdana" w:hAnsi="Verdana"/>
          <w:color w:val="252D33"/>
          <w:sz w:val="17"/>
          <w:szCs w:val="17"/>
        </w:rPr>
        <w:t>Обратиться в Министерство труда и социальной защиты Российской Федерации с рекомендацией об издании постановления, уточняющего разъяснение Минтруда России от 11 сентября 1995 года № 3 «О порядке начисления процентных надбавок к заработной плате лицам, работающим в районах Крайнего Севера, приравненных к ним местностях, в южных районах Восточной Сибири, Дальнего Востока и коэффициентов (районных, за работу в высокогорных районах, за работу в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пустынных и безводных </w:t>
      </w:r>
      <w:proofErr w:type="gramStart"/>
      <w:r>
        <w:rPr>
          <w:rFonts w:ascii="Verdana" w:hAnsi="Verdana"/>
          <w:color w:val="252D33"/>
          <w:sz w:val="17"/>
          <w:szCs w:val="17"/>
        </w:rPr>
        <w:t>местностях</w:t>
      </w:r>
      <w:proofErr w:type="gramEnd"/>
      <w:r>
        <w:rPr>
          <w:rFonts w:ascii="Verdana" w:hAnsi="Verdana"/>
          <w:color w:val="252D33"/>
          <w:sz w:val="17"/>
          <w:szCs w:val="17"/>
        </w:rPr>
        <w:t>)», утвержденное постановлением Минтруда России от 11 сентября 1995 года № 49, в части, раскрывающей понятие «фактического заработка», на который должны начисляться упомянутые процентные надбавки и коэффициенты.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4. Членским организациям ФНПР: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4.1. </w:t>
      </w:r>
      <w:proofErr w:type="gramStart"/>
      <w:r>
        <w:rPr>
          <w:rFonts w:ascii="Verdana" w:hAnsi="Verdana"/>
          <w:color w:val="252D33"/>
          <w:sz w:val="17"/>
          <w:szCs w:val="17"/>
        </w:rPr>
        <w:t>Реализуя положения Постановления Конституционного Суда РФ    от 7 декабря 2017 года № 38-П,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 на 2018 - 2020 годы и 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 на 2018 год, обратить особое внимание на соблюдение трудового законодательства в части</w:t>
      </w:r>
      <w:proofErr w:type="gramEnd"/>
      <w:r>
        <w:rPr>
          <w:rFonts w:ascii="Verdana" w:hAnsi="Verdana"/>
          <w:color w:val="252D33"/>
          <w:sz w:val="17"/>
          <w:szCs w:val="17"/>
        </w:rPr>
        <w:t xml:space="preserve"> обеспечения выполнения в полном объеме действующих гарантий и компенсаций лицам, работающим и проживающим в районах Крайнего Севера и приравненных к ним местностях, в том числе начисление на фактический заработок районных коэффициентов и процентных надбавок за стаж работы в указанных районах;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4.2. Рекомендовать проведение совместных проверок с органами прокуратуры и государственными инспекциями труда в субъектах РФ (в рамках действующих соглашений о взаимодействии)  соблюдения работодателями (их представителями) законодательства об оплате труда;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4.3. При обсуждении и формировании бюджетов всех уровней добиваться от органов законодательной (представительной) и исполнительной власти  включения в соответствующие бюджеты необходимых средств на оплату труда работников государственных и муниципальных учреждений;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 xml:space="preserve">4.4. При ведении коллективных переговоров по заключению региональных соглашений о минимальной заработной плате учитывать сложившуюся практику определения минимального размера тарифной ставки, оклада (должностного оклада) как видов вознаграждения за труд в системах оплаты труда, не ниже величины минимального </w:t>
      </w:r>
      <w:proofErr w:type="gramStart"/>
      <w:r>
        <w:rPr>
          <w:rFonts w:ascii="Verdana" w:hAnsi="Verdana"/>
          <w:color w:val="252D33"/>
          <w:sz w:val="17"/>
          <w:szCs w:val="17"/>
        </w:rPr>
        <w:t>размера оплаты труда</w:t>
      </w:r>
      <w:proofErr w:type="gramEnd"/>
      <w:r>
        <w:rPr>
          <w:rFonts w:ascii="Verdana" w:hAnsi="Verdana"/>
          <w:color w:val="252D33"/>
          <w:sz w:val="17"/>
          <w:szCs w:val="17"/>
        </w:rPr>
        <w:t>, установленного федеральным законом;</w:t>
      </w:r>
    </w:p>
    <w:p w:rsidR="00FC47B4" w:rsidRDefault="00FC47B4" w:rsidP="00FC47B4">
      <w:pPr>
        <w:pStyle w:val="a3"/>
        <w:shd w:val="clear" w:color="auto" w:fill="FFFFFF"/>
        <w:ind w:firstLine="709"/>
        <w:jc w:val="both"/>
        <w:rPr>
          <w:rFonts w:ascii="Verdana" w:hAnsi="Verdana"/>
          <w:color w:val="252D33"/>
          <w:sz w:val="17"/>
          <w:szCs w:val="17"/>
        </w:rPr>
      </w:pPr>
      <w:r>
        <w:rPr>
          <w:rFonts w:ascii="Verdana" w:hAnsi="Verdana"/>
          <w:color w:val="252D33"/>
          <w:sz w:val="17"/>
          <w:szCs w:val="17"/>
        </w:rPr>
        <w:t>4.5.  Практиковать направление проектов региональных соглашений о минимальной заработной плате в Аппарат ФНПР для проведения правовой и социально-экономической экспертизы.</w:t>
      </w:r>
    </w:p>
    <w:p w:rsidR="00176BF9" w:rsidRDefault="00176BF9" w:rsidP="00FC47B4">
      <w:pPr>
        <w:jc w:val="both"/>
      </w:pPr>
    </w:p>
    <w:sectPr w:rsidR="00176BF9" w:rsidSect="00176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47B4"/>
    <w:rsid w:val="00176BF9"/>
    <w:rsid w:val="00FC4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7B4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47B4"/>
    <w:rPr>
      <w:b/>
      <w:bCs/>
    </w:rPr>
  </w:style>
  <w:style w:type="character" w:styleId="a5">
    <w:name w:val="Hyperlink"/>
    <w:basedOn w:val="a0"/>
    <w:uiPriority w:val="99"/>
    <w:semiHidden/>
    <w:unhideWhenUsed/>
    <w:rsid w:val="00FC47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1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4714</Words>
  <Characters>26872</Characters>
  <Application>Microsoft Office Word</Application>
  <DocSecurity>0</DocSecurity>
  <Lines>223</Lines>
  <Paragraphs>63</Paragraphs>
  <ScaleCrop>false</ScaleCrop>
  <Company/>
  <LinksUpToDate>false</LinksUpToDate>
  <CharactersWithSpaces>31523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M.V.Kuznetcov</dc:creator>
  <cp:keywords/>
  <dc:description/>
  <cp:lastModifiedBy>M.V.Kuznetcov</cp:lastModifiedBy>
  <cp:revision>2</cp:revision>
  <dcterms:created xsi:type="dcterms:W3CDTF">2020-09-01T08:05:00Z</dcterms:created>
  <dcterms:modified xsi:type="dcterms:W3CDTF">2020-09-01T08:07:00Z</dcterms:modified>
</cp:coreProperties>
</file>