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956"/>
        <w:jc w:val="center"/>
        <w:spacing w:lineRule="auto" w:line="240"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Приложение № 3</w:t>
      </w:r>
      <w:r/>
    </w:p>
    <w:p>
      <w:pPr>
        <w:ind w:left="4956"/>
        <w:jc w:val="center"/>
        <w:spacing w:lineRule="auto" w:line="240"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 постановлению Исполкома ФНПР</w:t>
      </w:r>
      <w:r/>
    </w:p>
    <w:p>
      <w:pPr>
        <w:ind w:left="4956"/>
        <w:jc w:val="center"/>
        <w:spacing w:lineRule="auto" w:line="240"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от 09.02.2022 № 2-4</w:t>
      </w:r>
      <w:r/>
    </w:p>
    <w:p>
      <w:pPr>
        <w:jc w:val="right"/>
        <w:spacing w:lineRule="auto" w:line="24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right"/>
        <w:spacing w:lineRule="auto" w:line="24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spacing w:lineRule="auto" w:line="240" w:after="0"/>
        <w:rPr>
          <w:rFonts w:ascii="Times New Roman" w:hAnsi="Times New Roman" w:cs="Times New Roman" w:eastAsia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/>
          <w:bCs/>
          <w:color w:val="000000"/>
          <w:sz w:val="28"/>
          <w:szCs w:val="28"/>
          <w:lang w:eastAsia="ru-RU"/>
        </w:rPr>
        <w:t xml:space="preserve">Аналитический доклад</w:t>
      </w:r>
      <w:r/>
    </w:p>
    <w:p>
      <w:pPr>
        <w:jc w:val="center"/>
        <w:spacing w:lineRule="auto" w:line="240" w:after="0"/>
        <w:rPr>
          <w:rFonts w:ascii="Times New Roman" w:hAnsi="Times New Roman" w:cs="Times New Roman"/>
          <w:b/>
          <w:sz w:val="28"/>
          <w:szCs w:val="24"/>
          <w:shd w:val="clear" w:fill="FFFFFF" w:color="auto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«Практика работы региональных государственных и муниципальных органов по реализации программ занятости</w:t>
      </w:r>
      <w:r>
        <w:rPr>
          <w:rFonts w:ascii="Times New Roman" w:hAnsi="Times New Roman" w:cs="Times New Roman"/>
          <w:b/>
          <w:sz w:val="28"/>
          <w:szCs w:val="24"/>
          <w:shd w:val="clear" w:fill="FFFFFF" w:color="auto"/>
        </w:rPr>
        <w:t xml:space="preserve"> </w:t>
      </w:r>
      <w:r/>
    </w:p>
    <w:p>
      <w:pPr>
        <w:jc w:val="center"/>
        <w:spacing w:lineRule="auto" w:line="240" w:after="0"/>
        <w:rPr>
          <w:rFonts w:ascii="Times New Roman" w:hAnsi="Times New Roman" w:cs="Times New Roman" w:eastAsia="Times New Roman"/>
          <w:b/>
          <w:color w:val="333333"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4"/>
          <w:shd w:val="clear" w:fill="FFFFFF" w:color="auto"/>
        </w:rPr>
        <w:t xml:space="preserve">с точки зрения интересов молодёжи»</w:t>
      </w:r>
      <w:r>
        <w:rPr>
          <w:rFonts w:ascii="Times New Roman" w:hAnsi="Times New Roman" w:cs="Times New Roman" w:eastAsia="Times New Roman"/>
          <w:b/>
          <w:color w:val="333333"/>
          <w:sz w:val="28"/>
          <w:szCs w:val="24"/>
          <w:lang w:eastAsia="ru-RU"/>
        </w:rPr>
        <w:t xml:space="preserve"> </w:t>
      </w:r>
      <w:r/>
    </w:p>
    <w:p>
      <w:pPr>
        <w:ind w:right="-1" w:firstLine="993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Предметом исследования является анализ работы региональных государственных и муниципальных органов по реализации программ занятости</w:t>
      </w:r>
      <w:r>
        <w:rPr>
          <w:rFonts w:ascii="Times New Roman" w:hAnsi="Times New Roman" w:cs="Times New Roman"/>
          <w:sz w:val="28"/>
          <w:szCs w:val="24"/>
          <w:shd w:val="clear" w:fill="FFFFFF" w:color="auto"/>
        </w:rPr>
        <w:t xml:space="preserve"> с точки зрения интересов молодёжи</w:t>
      </w:r>
      <w:r>
        <w:rPr>
          <w:rFonts w:ascii="Times New Roman" w:hAnsi="Times New Roman" w:cs="Times New Roman"/>
          <w:sz w:val="28"/>
          <w:szCs w:val="28"/>
        </w:rPr>
        <w:t xml:space="preserve">, который выполнен  участниками Всероссийского форума «Стратегический резерв 2021».</w:t>
      </w:r>
      <w:r/>
    </w:p>
    <w:p>
      <w:pPr>
        <w:ind w:right="-1"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исследования – выявление лучших практик по обеспечению занятости российской молодёжи, а также анализ доступности информации               о таких программах для самой молодёжи.</w:t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Всероссийского форума «Стратегический резерв 2021» представлено для обобщения 105 информационных материалов (в свободной форме) по теме данного исследования, 43 из которых в той или иной мере носят аналитический характер. </w:t>
      </w:r>
      <w:r>
        <w:rPr>
          <w:rFonts w:ascii="Times New Roman" w:hAnsi="Times New Roman"/>
          <w:sz w:val="28"/>
          <w:szCs w:val="28"/>
        </w:rPr>
        <w:t xml:space="preserve">Последующий анализ произведен Департаментом Аппарата ФНПР по связям с общественностью, молодёжной политике и развитию профсоюзного движения.</w:t>
      </w:r>
      <w:r/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Материалы освещают практику работы по планированию и реализации программ занятости населения, включая молодежь, в 49 региональных                                  и муниципальных образованиях Российской Федерации. </w:t>
      </w:r>
      <w:r/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</w:t>
      </w:r>
      <w:r>
        <w:rPr>
          <w:rFonts w:ascii="Times New Roman" w:hAnsi="Times New Roman" w:cs="Times New Roman"/>
          <w:sz w:val="28"/>
          <w:szCs w:val="28"/>
        </w:rPr>
        <w:t xml:space="preserve">том в 17-ти из общего числа изученных территорий действуют специальные программы (региональные законы и нормативные акты, молодежные центры занятости и предпринимательства, биржи труда и др.), связанные с постоянным и временным трудоустройством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и профессиональным обучением молодежи: молодых специалистов – выпускников профессиональных образовательных учреждений, а также студентов; женщин, имеющих малолетних детей; учащихся старших классов общеобразовательных школ; </w:t>
      </w:r>
      <w:r>
        <w:rPr>
          <w:rFonts w:ascii="Times New Roman" w:hAnsi="Times New Roman" w:cs="Times New Roman"/>
          <w:sz w:val="28"/>
        </w:rPr>
        <w:t xml:space="preserve">безработных граждан в возр</w:t>
      </w:r>
      <w:r>
        <w:rPr>
          <w:rFonts w:ascii="Times New Roman" w:hAnsi="Times New Roman" w:cs="Times New Roman"/>
          <w:sz w:val="28"/>
        </w:rPr>
        <w:t xml:space="preserve">асте от 18 до 20 лет, имеющих среднее профессиональное образование и ищущих работу впервые; молодых инвалидов и некоторых других категорий молодежи. О качестве этой работы свидетельствуют конкретные материалы, являющиеся основной частью настоящего доклада.</w:t>
      </w:r>
      <w:r/>
    </w:p>
    <w:p>
      <w:pPr>
        <w:pStyle w:val="920"/>
        <w:ind w:left="0"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Следует заметить, что в большей части изученных регионов принимаются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государственные программы содействия занятости населения на текущие периоды, согласно которым центрами и службами занятости осуществляются соответствующие плановые мероприятия (как правило,                  по стандартным </w:t>
      </w:r>
      <w:r>
        <w:rPr>
          <w:rFonts w:ascii="Times New Roman" w:hAnsi="Times New Roman" w:cs="Times New Roman"/>
          <w:sz w:val="28"/>
          <w:szCs w:val="28"/>
        </w:rPr>
        <w:t xml:space="preserve">целеполаганию</w:t>
      </w:r>
      <w:r>
        <w:rPr>
          <w:rFonts w:ascii="Times New Roman" w:hAnsi="Times New Roman" w:cs="Times New Roman"/>
          <w:sz w:val="28"/>
          <w:szCs w:val="28"/>
        </w:rPr>
        <w:t xml:space="preserve"> и набору) для всех категорий населения. </w:t>
      </w:r>
      <w:r/>
    </w:p>
    <w:p>
      <w:pPr>
        <w:pStyle w:val="920"/>
        <w:ind w:left="0"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«молодежное» трудоустройство как системная общественная проблема в отдельные программы (разделы) не выделяется,                                        а п</w:t>
      </w:r>
      <w:r>
        <w:rPr>
          <w:rFonts w:ascii="Times New Roman" w:hAnsi="Times New Roman" w:cs="Times New Roman"/>
          <w:sz w:val="28"/>
          <w:szCs w:val="28"/>
        </w:rPr>
        <w:t xml:space="preserve">редусматриваемые в этой связи мероприятия нередко ограничиваются временным трудоустройством несовершеннолетних граждан в возрасте                    от 14 до 18 лет, трудоустройством молодых инвалидов и приглашением молодежи заняться предпринимательством. </w:t>
      </w:r>
      <w:r/>
    </w:p>
    <w:p>
      <w:pPr>
        <w:pStyle w:val="973"/>
        <w:ind w:firstLine="708"/>
        <w:jc w:val="both"/>
        <w:spacing w:after="0" w:afterAutospacing="0" w:before="0" w:beforeAutospacing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2021 году ФНПР приняла активное участие в разработке Долгосрочной программы содействия занятости молодежи, подготовленной Минтрудом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 распоряжению Президента РФ. Главная цель</w:t>
      </w:r>
      <w:r>
        <w:rPr>
          <w:rStyle w:val="921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программы - создание условий для реализации профессионального, трудового и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предпринимательского потенциала молодых людей. В декабре соответствующий документ </w:t>
      </w:r>
      <w:r>
        <w:rPr>
          <w:rFonts w:eastAsiaTheme="majorEastAsia"/>
          <w:color w:val="000000"/>
          <w:sz w:val="28"/>
          <w:szCs w:val="28"/>
        </w:rPr>
        <w:t xml:space="preserve">подписал Председатель Правительства РФ Михаил</w:t>
      </w:r>
      <w:r>
        <w:rPr>
          <w:rStyle w:val="921"/>
          <w:rFonts w:eastAsiaTheme="majorEastAsia"/>
          <w:color w:val="000000"/>
          <w:sz w:val="28"/>
          <w:szCs w:val="28"/>
        </w:rPr>
        <w:t xml:space="preserve"> </w:t>
      </w:r>
      <w:r>
        <w:rPr>
          <w:rFonts w:eastAsiaTheme="majorEastAsia"/>
          <w:color w:val="000000"/>
          <w:sz w:val="28"/>
          <w:szCs w:val="28"/>
        </w:rPr>
        <w:t xml:space="preserve">Мишустин</w:t>
      </w:r>
      <w:r>
        <w:rPr>
          <w:rFonts w:eastAsiaTheme="majorEastAsia"/>
          <w:color w:val="000000"/>
          <w:sz w:val="28"/>
          <w:szCs w:val="28"/>
        </w:rPr>
        <w:t xml:space="preserve">. Реализация программы рассчитана до 2030 года                      и пр</w:t>
      </w:r>
      <w:r>
        <w:rPr>
          <w:rFonts w:eastAsiaTheme="majorEastAsia"/>
          <w:color w:val="000000"/>
          <w:sz w:val="28"/>
          <w:szCs w:val="28"/>
        </w:rPr>
        <w:t xml:space="preserve">едусматривает 32 мероприятия, в их числе - предоставление субсидий работодателям за трудоустройство молодых людей, которым часто бывает сложно найти работу, совершенствование порядка формирования                             и распределения контрольных цифр</w:t>
      </w:r>
      <w:r>
        <w:rPr>
          <w:rStyle w:val="921"/>
          <w:rFonts w:eastAsiaTheme="majorEastAsia"/>
          <w:color w:val="000000"/>
          <w:sz w:val="28"/>
          <w:szCs w:val="28"/>
        </w:rPr>
        <w:t xml:space="preserve"> </w:t>
      </w:r>
      <w:r>
        <w:rPr>
          <w:rFonts w:eastAsiaTheme="majorEastAsia"/>
          <w:color w:val="000000"/>
          <w:sz w:val="28"/>
          <w:szCs w:val="28"/>
        </w:rPr>
        <w:t xml:space="preserve">приёма в колледжи и вузы, чтобы максимально приблизить их к потребностям рынка труда.</w:t>
      </w:r>
      <w:r>
        <w:rPr>
          <w:rFonts w:eastAsiaTheme="majorEastAsia"/>
        </w:rPr>
      </w:r>
    </w:p>
    <w:p>
      <w:pPr>
        <w:pStyle w:val="920"/>
        <w:ind w:left="0"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Молодые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профактивисты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, изучавшие вопросы обеспечения занятости молодежи на региональном и муниципальном уровнях, обращают внимание на то, что:</w:t>
      </w:r>
      <w:r>
        <w:rPr>
          <w:rFonts w:eastAsiaTheme="majorEastAsia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- молодежь как одна из социально незащищенных категорий населения нуждается в поддержке и содействии в занятости в наибольшей степени; 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 w:eastAsia="Calibri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- в большинстве регионов крайне низкая заработная плата у служащих              и рабочих, что негативно влияет на </w:t>
      </w:r>
      <w:r>
        <w:rPr>
          <w:rFonts w:ascii="Times New Roman" w:hAnsi="Times New Roman" w:cs="Times New Roman" w:eastAsiaTheme="majorEastAsia"/>
          <w:sz w:val="28"/>
        </w:rPr>
        <w:t xml:space="preserve">мотивацию молодежи к обучению рабочим профессиям;</w:t>
      </w:r>
      <w:r>
        <w:rPr>
          <w:rFonts w:eastAsiaTheme="majorEastAsia"/>
        </w:rPr>
      </w:r>
    </w:p>
    <w:p>
      <w:pPr>
        <w:contextualSpacing w:val="true"/>
        <w:ind w:firstLine="709"/>
        <w:jc w:val="both"/>
        <w:spacing w:lineRule="auto" w:line="240" w:after="0"/>
        <w:tabs>
          <w:tab w:val="left" w:pos="993" w:leader="none"/>
        </w:tabs>
        <w:rPr>
          <w:rFonts w:ascii="Times New Roman" w:hAnsi="Times New Roman" w:cs="Times New Roman" w:eastAsia="Calibri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- сохраняющийся низкий размер пособий по безработице                                  не способствует росту общественного авторитета центров и служб занятости; </w:t>
      </w:r>
      <w:r>
        <w:rPr>
          <w:rFonts w:eastAsiaTheme="majorEastAsia"/>
        </w:rPr>
      </w:r>
    </w:p>
    <w:p>
      <w:pPr>
        <w:contextualSpacing w:val="true"/>
        <w:ind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в настоящее время в самом худшем положении находится безработная молодежь в возрасте от 18 до 24 лет - для молодежного рынка труда характерна низкая конкурентоспособность по сравнению с другими возрастными группами;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- недостаток актуальной и достоверной информации о возможностях                 и потребностях молодежи приводит к невозможности принятия обоснованных управленческих решений, необходимых и востребованных молодежью; </w:t>
      </w:r>
      <w:r>
        <w:rPr>
          <w:rFonts w:ascii="Liberation Serif" w:hAnsi="Liberation Serif" w:eastAsiaTheme="majorEastAsia"/>
          <w:sz w:val="28"/>
          <w:szCs w:val="24"/>
        </w:rPr>
        <w:t xml:space="preserve">молодежь при поиске работы редко обращается в центры занятости, часто прибегая к помощи знакомых и </w:t>
      </w:r>
      <w:r>
        <w:rPr>
          <w:rFonts w:ascii="Liberation Serif" w:hAnsi="Liberation Serif" w:eastAsiaTheme="majorEastAsia"/>
          <w:sz w:val="28"/>
          <w:szCs w:val="24"/>
        </w:rPr>
        <w:t xml:space="preserve">интернет-ресурсов</w:t>
      </w:r>
      <w:r>
        <w:rPr>
          <w:rFonts w:ascii="Liberation Serif" w:hAnsi="Liberation Serif" w:eastAsiaTheme="majorEastAsia"/>
          <w:sz w:val="28"/>
          <w:szCs w:val="24"/>
        </w:rPr>
        <w:t xml:space="preserve">; </w:t>
      </w:r>
      <w:r>
        <w:rPr>
          <w:rFonts w:ascii="Times New Roman" w:hAnsi="Times New Roman" w:cs="Times New Roman" w:eastAsiaTheme="majorEastAsia"/>
          <w:sz w:val="28"/>
        </w:rPr>
        <w:t xml:space="preserve">слаба осведомленность людей о проводимых ярмарках вакансий;</w:t>
      </w:r>
      <w:r>
        <w:rPr>
          <w:rFonts w:eastAsiaTheme="majorEastAsia"/>
        </w:rPr>
      </w:r>
    </w:p>
    <w:p>
      <w:pPr>
        <w:contextualSpacing w:val="true"/>
        <w:ind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- низкий спрос на региональном рынке труда на многие профессии приводит к тому, что большая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часть молодых людей не может трудоустроиться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по специальности, увеличивается группа молодежи, которая нигде не работает и не учится;</w:t>
      </w:r>
      <w:r>
        <w:rPr>
          <w:rFonts w:eastAsiaTheme="majorEastAsia"/>
        </w:rPr>
      </w:r>
    </w:p>
    <w:p>
      <w:pPr>
        <w:contextualSpacing w:val="true"/>
        <w:ind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- молодые женщины составляют значительную долю безработных, поскольку работодатели отдают мужчинам явное предпочтение при приеме на работу;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eastAsiaTheme="majorEastAsia"/>
          <w:sz w:val="28"/>
        </w:rPr>
        <w:t xml:space="preserve">- система образования недостаточно адаптирована к требованиям рынка труда, особенно в части учета перспектив спроса на рабочую силу                 в профессионально-квалификационном разрезе.</w:t>
      </w:r>
      <w:r>
        <w:rPr>
          <w:rFonts w:eastAsiaTheme="majorEastAsia"/>
        </w:rPr>
      </w:r>
    </w:p>
    <w:p>
      <w:pPr>
        <w:ind w:firstLine="709"/>
        <w:jc w:val="both"/>
        <w:spacing w:lineRule="auto" w:line="240" w:after="0"/>
        <w:rPr>
          <w:rFonts w:ascii="Liberation Serif" w:hAnsi="Liberation Serif"/>
          <w:b/>
          <w:sz w:val="28"/>
          <w:szCs w:val="24"/>
        </w:rPr>
      </w:pPr>
      <w:r>
        <w:rPr>
          <w:rFonts w:ascii="Liberation Serif" w:hAnsi="Liberation Serif" w:eastAsiaTheme="majorEastAsia"/>
          <w:sz w:val="28"/>
          <w:szCs w:val="24"/>
        </w:rPr>
        <w:t xml:space="preserve">Наряду с констатацией проблем, молодые </w:t>
      </w:r>
      <w:r>
        <w:rPr>
          <w:rFonts w:ascii="Liberation Serif" w:hAnsi="Liberation Serif" w:eastAsiaTheme="majorEastAsia"/>
          <w:sz w:val="28"/>
          <w:szCs w:val="24"/>
        </w:rPr>
        <w:t xml:space="preserve">профактивисты</w:t>
      </w:r>
      <w:r>
        <w:rPr>
          <w:rFonts w:ascii="Liberation Serif" w:hAnsi="Liberation Serif" w:eastAsiaTheme="majorEastAsia"/>
          <w:sz w:val="28"/>
          <w:szCs w:val="24"/>
        </w:rPr>
        <w:t xml:space="preserve"> предлагают: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Liberation Serif" w:hAnsi="Liberation Serif"/>
          <w:sz w:val="28"/>
          <w:szCs w:val="24"/>
        </w:rPr>
      </w:pPr>
      <w:r>
        <w:rPr>
          <w:rFonts w:ascii="Liberation Serif" w:hAnsi="Liberation Serif" w:eastAsiaTheme="majorEastAsia"/>
          <w:sz w:val="28"/>
          <w:szCs w:val="24"/>
        </w:rPr>
        <w:t xml:space="preserve">- в рамках профориентации ввести постоянное информирование школьни</w:t>
      </w:r>
      <w:r>
        <w:rPr>
          <w:rFonts w:ascii="Liberation Serif" w:hAnsi="Liberation Serif" w:eastAsiaTheme="majorEastAsia"/>
          <w:sz w:val="28"/>
          <w:szCs w:val="24"/>
        </w:rPr>
        <w:t xml:space="preserve">ков старших классов о профессиях, которые востребованы на рынке труда, об учебных заведениях, где можно получить соответствующее образование; информацию по трудоустройству следует переносить                            в социальные сети, так как затратное и</w:t>
      </w:r>
      <w:r>
        <w:rPr>
          <w:rFonts w:ascii="Times New Roman" w:hAnsi="Times New Roman" w:cs="Times New Roman" w:eastAsiaTheme="majorEastAsia"/>
          <w:sz w:val="28"/>
        </w:rPr>
        <w:t xml:space="preserve">здание брошюр, буклетов, баннеров для молодежи становится менее актуальным;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Liberation Serif" w:hAnsi="Liberation Serif"/>
          <w:sz w:val="28"/>
          <w:szCs w:val="24"/>
        </w:rPr>
      </w:pPr>
      <w:r>
        <w:rPr>
          <w:rFonts w:ascii="Liberation Serif" w:hAnsi="Liberation Serif" w:eastAsiaTheme="majorEastAsia"/>
          <w:sz w:val="28"/>
          <w:szCs w:val="24"/>
        </w:rPr>
        <w:t xml:space="preserve">- стимулировать молодежь поступать в высшие учебные заведения на специальности, которые пользуются спросом на рынке труда, например, путем увеличения бюджетных и льготных мест; 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tabs>
          <w:tab w:val="left" w:pos="851" w:leader="none"/>
        </w:tabs>
        <w:rPr>
          <w:rFonts w:ascii="Times New Roman" w:hAnsi="Times New Roman" w:cs="Times New Roman"/>
          <w:sz w:val="28"/>
          <w:szCs w:val="24"/>
          <w:shd w:val="clear" w:fill="FFFFFF" w:color="auto"/>
        </w:rPr>
      </w:pPr>
      <w:r>
        <w:rPr>
          <w:rFonts w:ascii="Liberation Serif" w:hAnsi="Liberation Serif" w:eastAsiaTheme="majorEastAsia"/>
          <w:sz w:val="28"/>
          <w:szCs w:val="24"/>
        </w:rPr>
        <w:t xml:space="preserve">-</w:t>
      </w:r>
      <w:r>
        <w:rPr>
          <w:rFonts w:eastAsiaTheme="majorEastAsia"/>
          <w:color w:val="000000"/>
          <w:sz w:val="28"/>
          <w:szCs w:val="28"/>
        </w:rPr>
        <w:t xml:space="preserve"> </w:t>
      </w:r>
      <w:r>
        <w:rPr>
          <w:rFonts w:ascii="Liberation Serif" w:hAnsi="Liberation Serif" w:eastAsiaTheme="majorEastAsia"/>
          <w:sz w:val="28"/>
          <w:szCs w:val="24"/>
        </w:rPr>
        <w:t xml:space="preserve">ввести системное сотрудничество учебных заведений                                      с предприятиями и организациями, которые предоставляют учащимся возможность пройти практику с перспективой дальнейшего трудоустройства; о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дновременно с корректировкой учебного процесса в соответствии                          с требованиями регионального рынка труда выпускников необходимо обучать приемам грамотного построения профессиональной карьеры, самостоятельного поиска рабочего места;</w:t>
      </w:r>
      <w:r>
        <w:rPr>
          <w:rFonts w:ascii="Times New Roman" w:hAnsi="Times New Roman" w:cs="Times New Roman" w:eastAsiaTheme="majorEastAsia"/>
          <w:sz w:val="28"/>
          <w:szCs w:val="24"/>
          <w:shd w:val="clear" w:fill="FFFFFF" w:color="auto"/>
        </w:rPr>
        <w:t xml:space="preserve">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рассмотреть вопрос о возрождении и модернизации системы трудоустройства выпускников внутри учебных заведений;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- сформировать социальную службу для индивидуальной работы                      с подростками и молодежью в сфере труда.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 </w:t>
      </w:r>
      <w:r>
        <w:rPr>
          <w:rFonts w:eastAsiaTheme="majorEastAsia"/>
        </w:rPr>
      </w:r>
    </w:p>
    <w:p>
      <w:pPr>
        <w:jc w:val="center"/>
        <w:spacing w:lineRule="auto" w:line="240"/>
        <w:rPr>
          <w:rFonts w:ascii="Times New Roman" w:hAnsi="Times New Roman" w:cs="Times New Roman" w:eastAsia="Times New Roman"/>
          <w:b/>
          <w:color w:val="343434"/>
          <w:sz w:val="28"/>
          <w:szCs w:val="28"/>
        </w:rPr>
      </w:pPr>
      <w:r>
        <w:rPr>
          <w:rFonts w:ascii="Times New Roman" w:hAnsi="Times New Roman" w:cs="Times New Roman" w:eastAsiaTheme="majorEastAsia"/>
          <w:b/>
          <w:color w:val="343434"/>
          <w:sz w:val="28"/>
          <w:szCs w:val="28"/>
        </w:rPr>
        <w:t xml:space="preserve">Извлечения из аналитических записок участников исследования</w:t>
      </w:r>
      <w:r>
        <w:rPr>
          <w:rFonts w:eastAsiaTheme="majorEastAsia"/>
        </w:rPr>
      </w:r>
    </w:p>
    <w:p>
      <w:pPr>
        <w:ind w:right="-851"/>
        <w:jc w:val="center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eastAsiaTheme="majorEastAsia"/>
        </w:rPr>
      </w:r>
      <w:hyperlink r:id="rId12" w:tooltip="https://ru.wikipedia.org/wiki/%D0%A4%D0%B5%D0%B4%D0%B5%D1%80%D0%B0%D0%BB%D1%8C%D0%BD%D1%8B%D0%B5_%D0%BE%D0%BA%D1%80%D1%83%D0%B3%D0%B0_%D0%A0%D0%BE%D1%81%D1%81%D0%B8%D0%B9%D1%81%D0%BA%D0%BE%D0%B9_%D0%A4%D0%B5%D0%B4%D0%B5%D1%80%D0%B0%D1%86%D0%B8%D0%B8#%D0%A6%D0%" w:anchor="%D0%A6%D0%B5%D0%BD%D1%82%D1%80%D0%B0%D0%BB%D1%8C%D0%BD%D1%8B%D0%B9" w:history="1">
        <w:r>
          <w:rPr>
            <w:rStyle w:val="922"/>
            <w:rFonts w:ascii="Times New Roman" w:hAnsi="Times New Roman" w:eastAsiaTheme="majorEastAsia"/>
            <w:color w:val="auto"/>
            <w:sz w:val="28"/>
            <w:szCs w:val="28"/>
            <w:u w:val="none"/>
          </w:rPr>
          <w:t xml:space="preserve">ЦЕНТРАЛЬНЫЙ</w:t>
        </w:r>
      </w:hyperlink>
      <w:r>
        <w:rPr>
          <w:rFonts w:ascii="Times New Roman" w:hAnsi="Times New Roman" w:cs="Times New Roman" w:eastAsiaTheme="majorEastAsia"/>
          <w:sz w:val="28"/>
          <w:szCs w:val="28"/>
          <w:lang w:eastAsia="ru-RU"/>
        </w:rPr>
        <w:t xml:space="preserve"> ФЕДЕРАЛЬНЫЙ ОКРУГ</w:t>
      </w:r>
      <w:r>
        <w:rPr>
          <w:rFonts w:eastAsiaTheme="majorEastAsia"/>
        </w:rPr>
      </w:r>
    </w:p>
    <w:p>
      <w:pPr>
        <w:pStyle w:val="932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Theme="majorEastAsia"/>
          <w:b/>
          <w:sz w:val="28"/>
          <w:szCs w:val="28"/>
          <w:lang w:eastAsia="ru-RU"/>
        </w:rPr>
        <w:t xml:space="preserve">Москва</w:t>
      </w:r>
      <w:r>
        <w:rPr>
          <w:rFonts w:eastAsiaTheme="majorEastAsia"/>
        </w:rPr>
      </w:r>
    </w:p>
    <w:p>
      <w:pPr>
        <w:pStyle w:val="932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Theme="majorEastAsia"/>
          <w:sz w:val="28"/>
          <w:szCs w:val="28"/>
          <w:lang w:eastAsia="ru-RU"/>
        </w:rPr>
        <w:t xml:space="preserve">С 2005 года в городе применяется квотирование рабочих мест                          у работодателей с численностью более 100 работников для молодежи                          и инвалидов (по 2 процента). </w:t>
      </w:r>
      <w:r>
        <w:rPr>
          <w:rFonts w:ascii="Times New Roman" w:hAnsi="Times New Roman" w:cs="Times New Roman" w:eastAsiaTheme="majorEastAsia"/>
          <w:sz w:val="28"/>
          <w:szCs w:val="28"/>
          <w:lang w:eastAsia="ru-RU"/>
        </w:rPr>
        <w:t xml:space="preserve">В части молодежи работодатель должен иметь                       в виду: несовершеннолетних в возрасте от 14 до 18 лет; лиц из числа детей-сирот и детей</w:t>
      </w:r>
      <w:r>
        <w:rPr>
          <w:rFonts w:ascii="Times New Roman" w:hAnsi="Times New Roman" w:cs="Times New Roman" w:eastAsiaTheme="majorEastAsia"/>
          <w:sz w:val="28"/>
          <w:szCs w:val="28"/>
          <w:lang w:eastAsia="ru-RU"/>
        </w:rPr>
        <w:t xml:space="preserve">, оставшихся без попечения родителей, в возрасте до 23 лет; выпускников учреждений начального и среднего профессионального образования в возрасте от 18 до 24 лет, высшего профессионального образования в возрасте от 21 года до 26 лет, ищущих работу впервые.</w:t>
      </w:r>
      <w:r>
        <w:rPr>
          <w:rFonts w:eastAsiaTheme="majorEastAsia"/>
        </w:rPr>
      </w:r>
    </w:p>
    <w:p>
      <w:pPr>
        <w:pStyle w:val="932"/>
        <w:ind w:firstLine="708"/>
        <w:jc w:val="both"/>
        <w:shd w:val="clear" w:fill="FFFFFF" w:themeFill="background1" w:color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Theme="majorEastAsia"/>
          <w:sz w:val="28"/>
          <w:szCs w:val="28"/>
          <w:lang w:eastAsia="ru-RU"/>
        </w:rPr>
        <w:t xml:space="preserve">По программе временного трудо</w:t>
      </w:r>
      <w:r>
        <w:rPr>
          <w:rFonts w:ascii="Times New Roman" w:hAnsi="Times New Roman" w:cs="Times New Roman" w:eastAsiaTheme="majorEastAsia"/>
          <w:sz w:val="28"/>
          <w:szCs w:val="28"/>
          <w:lang w:eastAsia="ru-RU"/>
        </w:rPr>
        <w:t xml:space="preserve">устройства городской центр занятости населения трудоустраивает: безработных граждан в возрасте от 18 до 20 лет из числа выпускников, имеющих среднее профессиональное образование                и ищущих работу впервые; несовершеннолетних граждан в возрасте </w:t>
      </w:r>
      <w:r>
        <w:rPr>
          <w:rFonts w:ascii="Times New Roman" w:hAnsi="Times New Roman" w:cs="Times New Roman" w:eastAsiaTheme="majorEastAsia"/>
          <w:sz w:val="28"/>
          <w:szCs w:val="28"/>
          <w:lang w:eastAsia="ru-RU"/>
        </w:rPr>
        <w:t xml:space="preserve">от 14 до 18 лет; граждан в возрасте д</w:t>
      </w:r>
      <w:r>
        <w:rPr>
          <w:rFonts w:ascii="Times New Roman" w:hAnsi="Times New Roman" w:cs="Times New Roman" w:eastAsiaTheme="majorEastAsia"/>
          <w:sz w:val="28"/>
          <w:szCs w:val="28"/>
          <w:lang w:eastAsia="ru-RU"/>
        </w:rPr>
        <w:t xml:space="preserve">о 30 лет из числа выпускников профессиональных образовательных организаций, ищущих работу в течение одного года после окончания образовательного учреждения:  студентов профессиональных образовательных организаций (в свободное               от учебы время).</w:t>
      </w:r>
      <w:r>
        <w:rPr>
          <w:rFonts w:eastAsiaTheme="majorEastAsia"/>
        </w:rPr>
      </w:r>
    </w:p>
    <w:p>
      <w:pPr>
        <w:pStyle w:val="932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eastAsiaTheme="majorEastAsia"/>
          <w:color w:val="000000"/>
          <w:sz w:val="28"/>
          <w:szCs w:val="28"/>
        </w:rPr>
        <w:t xml:space="preserve">Специально </w:t>
      </w:r>
      <w:r>
        <w:rPr>
          <w:rStyle w:val="926"/>
          <w:rFonts w:ascii="Times New Roman" w:hAnsi="Times New Roman" w:eastAsiaTheme="majorEastAsia"/>
          <w:b w:val="false"/>
          <w:color w:val="000000"/>
          <w:sz w:val="28"/>
          <w:szCs w:val="28"/>
        </w:rPr>
        <w:t xml:space="preserve">для молодежи</w:t>
      </w:r>
      <w:r>
        <w:rPr>
          <w:rStyle w:val="926"/>
          <w:rFonts w:ascii="Times New Roman" w:hAnsi="Times New Roman" w:eastAsiaTheme="majorEastAsia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 w:eastAsiaTheme="majorEastAsia"/>
          <w:color w:val="000000"/>
          <w:sz w:val="28"/>
          <w:szCs w:val="28"/>
        </w:rPr>
        <w:t xml:space="preserve">в 2020 году были проведены бесплатные программы летней занятости. Порядка трех тысяч юношей и девушек                      от 14 до 18 лет приняли участие в </w:t>
      </w:r>
      <w:r>
        <w:rPr>
          <w:rStyle w:val="926"/>
          <w:rFonts w:ascii="Times New Roman" w:hAnsi="Times New Roman" w:eastAsiaTheme="majorEastAsia"/>
          <w:b w:val="false"/>
          <w:color w:val="000000"/>
          <w:sz w:val="28"/>
          <w:szCs w:val="28"/>
        </w:rPr>
        <w:t xml:space="preserve">проекте «Лето в новом формате»</w:t>
      </w:r>
      <w:r>
        <w:rPr>
          <w:rFonts w:ascii="Times New Roman" w:hAnsi="Times New Roman" w:cs="Times New Roman" w:eastAsiaTheme="majorEastAsia"/>
          <w:color w:val="000000"/>
          <w:sz w:val="28"/>
          <w:szCs w:val="28"/>
        </w:rPr>
        <w:t xml:space="preserve">. В нем, а также в программе «</w:t>
      </w:r>
      <w:r>
        <w:rPr>
          <w:rFonts w:ascii="Times New Roman" w:hAnsi="Times New Roman" w:cs="Times New Roman" w:eastAsiaTheme="majorEastAsia"/>
          <w:color w:val="000000"/>
          <w:sz w:val="28"/>
          <w:szCs w:val="28"/>
        </w:rPr>
        <w:t xml:space="preserve">PRO</w:t>
      </w:r>
      <w:r>
        <w:rPr>
          <w:rFonts w:ascii="Times New Roman" w:hAnsi="Times New Roman" w:cs="Times New Roman" w:eastAsiaTheme="majorEastAsia"/>
          <w:color w:val="000000"/>
          <w:sz w:val="28"/>
          <w:szCs w:val="28"/>
        </w:rPr>
        <w:t xml:space="preserve">Героев</w:t>
      </w:r>
      <w:r>
        <w:rPr>
          <w:rFonts w:ascii="Times New Roman" w:hAnsi="Times New Roman" w:cs="Times New Roman" w:eastAsiaTheme="majorEastAsia"/>
          <w:color w:val="000000"/>
          <w:sz w:val="28"/>
          <w:szCs w:val="28"/>
        </w:rPr>
        <w:t xml:space="preserve">» подростки познакомились с актуальными профессиями и смогли развить свои универсальные навыки. Оплачиваемые стажировки в 130 государственных и 10 некоммерческих организациях города стали возможностью для ребят получить свой первый опыт работы.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cs="Times New Roman" w:eastAsiaTheme="majorEastAsia"/>
          <w:sz w:val="28"/>
          <w:szCs w:val="28"/>
          <w:lang w:eastAsia="ru-RU"/>
        </w:rPr>
        <w:t xml:space="preserve">Активно действующий «Центр занятости молодежи города Москвы»</w:t>
      </w:r>
      <w:r>
        <w:rPr>
          <w:rFonts w:ascii="Times New Roman" w:hAnsi="Times New Roman" w:cs="Times New Roman" w:eastAsiaTheme="majorEastAsia"/>
          <w:sz w:val="28"/>
          <w:szCs w:val="28"/>
          <w:lang w:eastAsia="ru-RU"/>
        </w:rPr>
        <w:t xml:space="preserve">  предоставляет возможность принять участие в ярмарках вакансий.                       Это площадка для работодателей и образовательных организаций, на которой молодой специалист может презентовать себя максимально широкой аудитории. Работодатель в режиме </w:t>
      </w:r>
      <w:r>
        <w:rPr>
          <w:rFonts w:ascii="Times New Roman" w:hAnsi="Times New Roman" w:cs="Times New Roman" w:eastAsiaTheme="majorEastAsia"/>
          <w:sz w:val="28"/>
          <w:szCs w:val="28"/>
          <w:lang w:eastAsia="ru-RU"/>
        </w:rPr>
        <w:t xml:space="preserve">online</w:t>
      </w:r>
      <w:r>
        <w:rPr>
          <w:rFonts w:ascii="Times New Roman" w:hAnsi="Times New Roman" w:cs="Times New Roman" w:eastAsiaTheme="majorEastAsia"/>
          <w:sz w:val="28"/>
          <w:szCs w:val="28"/>
          <w:lang w:eastAsia="ru-RU"/>
        </w:rPr>
        <w:t xml:space="preserve"> может трудоустроить подходящих кандидатов. Ярмарки вакансий и учебных рабочих мест активно освещаются СМИ, информация размещается на </w:t>
      </w:r>
      <w:r>
        <w:rPr>
          <w:rFonts w:ascii="Times New Roman" w:hAnsi="Times New Roman" w:cs="Times New Roman" w:eastAsiaTheme="majorEastAsia"/>
          <w:sz w:val="28"/>
          <w:szCs w:val="28"/>
          <w:lang w:eastAsia="ru-RU"/>
        </w:rPr>
        <w:t xml:space="preserve">интернет-порталах</w:t>
      </w:r>
      <w:r>
        <w:rPr>
          <w:rFonts w:ascii="Times New Roman" w:hAnsi="Times New Roman" w:cs="Times New Roman" w:eastAsiaTheme="majorEastAsia"/>
          <w:sz w:val="28"/>
          <w:szCs w:val="28"/>
          <w:lang w:eastAsia="ru-RU"/>
        </w:rPr>
        <w:t xml:space="preserve"> с аудиторией свыше     1 миллиона человек. 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cs="Times New Roman" w:eastAsiaTheme="majorEastAsia"/>
          <w:sz w:val="28"/>
          <w:szCs w:val="28"/>
          <w:lang w:eastAsia="ru-RU"/>
        </w:rPr>
        <w:t xml:space="preserve">Центр занятости молодежи реализует новые подходы к вопросу трудоустройства: индивидуальный подход и персональное кураторство специалистом Центра в течение всего периода получени</w:t>
      </w:r>
      <w:r>
        <w:rPr>
          <w:rFonts w:ascii="Times New Roman" w:hAnsi="Times New Roman" w:cs="Times New Roman" w:eastAsiaTheme="majorEastAsia"/>
          <w:sz w:val="28"/>
          <w:szCs w:val="28"/>
          <w:lang w:eastAsia="ru-RU"/>
        </w:rPr>
        <w:t xml:space="preserve">я услуг; сопровождение на рабочем месте в течение трех месяцев после трудоустройства (в период испытательного срока); возможность повторного рассмотрения молодого специалиста как потенциального кандидата                   при появлении интересной вакансии.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Theme="majorEastAsia"/>
          <w:sz w:val="28"/>
          <w:szCs w:val="28"/>
          <w:lang w:eastAsia="ru-RU"/>
        </w:rPr>
        <w:t xml:space="preserve">В Центре занятости молодёжи можно получить консультации по всем вопросам, связанным с выборо</w:t>
      </w:r>
      <w:r>
        <w:rPr>
          <w:rFonts w:ascii="Times New Roman" w:hAnsi="Times New Roman" w:cs="Times New Roman" w:eastAsiaTheme="majorEastAsia"/>
          <w:sz w:val="28"/>
          <w:szCs w:val="28"/>
          <w:lang w:eastAsia="ru-RU"/>
        </w:rPr>
        <w:t xml:space="preserve">м сферы деятельности и профессиональной самореализацией. Психологи предложат пройти углубленное компьютерное тестирование в специально оборудованном помещении на современных аппаратно-программных психодиагностических комплексах, помогут определить уровень </w:t>
      </w:r>
      <w:r>
        <w:rPr>
          <w:rFonts w:ascii="Times New Roman" w:hAnsi="Times New Roman" w:cs="Times New Roman" w:eastAsiaTheme="majorEastAsia"/>
          <w:sz w:val="28"/>
          <w:szCs w:val="28"/>
          <w:lang w:eastAsia="ru-RU"/>
        </w:rPr>
        <w:t xml:space="preserve">сформированности</w:t>
      </w:r>
      <w:r>
        <w:rPr>
          <w:rFonts w:ascii="Times New Roman" w:hAnsi="Times New Roman" w:cs="Times New Roman" w:eastAsiaTheme="majorEastAsia"/>
          <w:sz w:val="28"/>
          <w:szCs w:val="28"/>
          <w:lang w:eastAsia="ru-RU"/>
        </w:rPr>
        <w:t xml:space="preserve"> профессионально значимых качеств, влияющих на успешную профессиональную реализацию в той или иной сфере деятельности.</w:t>
      </w:r>
      <w:r>
        <w:rPr>
          <w:rFonts w:eastAsiaTheme="majorEastAsia"/>
        </w:rPr>
      </w:r>
    </w:p>
    <w:p>
      <w:pPr>
        <w:ind w:firstLine="708"/>
        <w:jc w:val="center"/>
        <w:spacing w:lineRule="auto" w:line="240" w:after="0"/>
        <w:rPr>
          <w:rStyle w:val="926"/>
          <w:rFonts w:ascii="Times New Roman" w:hAnsi="Times New Roman"/>
          <w:sz w:val="28"/>
          <w:szCs w:val="28"/>
          <w:shd w:val="clear" w:fill="FFFFFF" w:color="auto"/>
        </w:rPr>
      </w:pPr>
      <w:r>
        <w:rPr>
          <w:rStyle w:val="926"/>
          <w:rFonts w:ascii="Times New Roman" w:hAnsi="Times New Roman" w:eastAsiaTheme="majorEastAsia"/>
          <w:sz w:val="28"/>
          <w:szCs w:val="28"/>
          <w:shd w:val="clear" w:fill="FFFFFF" w:color="auto"/>
        </w:rPr>
        <w:t xml:space="preserve">Муниципальное образование «Город Калуга»</w:t>
      </w:r>
      <w:r>
        <w:rPr>
          <w:rFonts w:eastAsiaTheme="majorEastAsia"/>
        </w:rPr>
      </w:r>
    </w:p>
    <w:p>
      <w:pPr>
        <w:ind w:firstLine="708"/>
        <w:jc w:val="center"/>
        <w:spacing w:lineRule="auto" w:line="240" w:after="0"/>
        <w:rPr>
          <w:rStyle w:val="926"/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ajorEastAsia"/>
          <w:sz w:val="28"/>
          <w:szCs w:val="28"/>
        </w:rPr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Style w:val="926"/>
          <w:rFonts w:ascii="Times New Roman" w:hAnsi="Times New Roman" w:eastAsiaTheme="majorEastAsia"/>
          <w:b w:val="false"/>
          <w:sz w:val="28"/>
          <w:szCs w:val="28"/>
          <w:shd w:val="clear" w:fill="FFFFFF" w:color="auto"/>
        </w:rPr>
        <w:t xml:space="preserve">Программой (2</w:t>
      </w:r>
      <w:r>
        <w:rPr>
          <w:rFonts w:ascii="Times New Roman" w:hAnsi="Times New Roman" w:cs="Times New Roman" w:eastAsiaTheme="majorEastAsia"/>
          <w:sz w:val="28"/>
          <w:szCs w:val="28"/>
          <w:shd w:val="clear" w:fill="FFFFFF" w:color="auto"/>
        </w:rPr>
        <w:t xml:space="preserve">020-2025годы)</w:t>
      </w:r>
      <w:r>
        <w:rPr>
          <w:rStyle w:val="926"/>
          <w:rFonts w:ascii="Times New Roman" w:hAnsi="Times New Roman" w:eastAsiaTheme="majorEastAsia"/>
          <w:b w:val="false"/>
          <w:sz w:val="28"/>
          <w:szCs w:val="28"/>
          <w:shd w:val="clear" w:fill="FFFFFF" w:color="auto"/>
        </w:rPr>
        <w:t xml:space="preserve"> «Молодежь муниципального образования «Город Калуга» предусматривается</w:t>
      </w:r>
      <w:r>
        <w:rPr>
          <w:rStyle w:val="926"/>
          <w:rFonts w:ascii="Times New Roman" w:hAnsi="Times New Roman" w:eastAsiaTheme="majorEastAsia"/>
          <w:sz w:val="28"/>
          <w:szCs w:val="28"/>
          <w:shd w:val="clear" w:fill="FFFFFF" w:color="auto"/>
        </w:rPr>
        <w:t xml:space="preserve">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содействие развитию молодежного движения на предприятиях, учреждениях и орган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изациях различной формы собственности, интеграция молодежи в социально-экономические отношения путем решения вопросов их профессиональной ориентации, формирования эффективных мер содействия трудоустройству,  поддержка молодых специалистов и молодых семей. 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При </w:t>
      </w:r>
      <w:r>
        <w:rPr>
          <w:rFonts w:ascii="Times New Roman" w:hAnsi="Times New Roman" w:cs="Times New Roman" w:eastAsiaTheme="majorEastAsia"/>
          <w:sz w:val="28"/>
          <w:szCs w:val="28"/>
          <w:shd w:val="clear" w:fill="FFFFFF" w:color="auto"/>
        </w:rPr>
        <w:t xml:space="preserve">центре занятости создана Молодежная биржа труда, значительный объем </w:t>
      </w:r>
      <w:r>
        <w:rPr>
          <w:rFonts w:ascii="Times New Roman" w:hAnsi="Times New Roman" w:cs="Times New Roman" w:eastAsiaTheme="majorEastAsia"/>
          <w:sz w:val="28"/>
          <w:szCs w:val="28"/>
          <w:shd w:val="clear" w:fill="FFFFFF" w:color="auto"/>
        </w:rPr>
        <w:t xml:space="preserve">работы</w:t>
      </w:r>
      <w:r>
        <w:rPr>
          <w:rFonts w:ascii="Times New Roman" w:hAnsi="Times New Roman" w:cs="Times New Roman" w:eastAsiaTheme="majorEastAsia"/>
          <w:sz w:val="28"/>
          <w:szCs w:val="28"/>
          <w:shd w:val="clear" w:fill="FFFFFF" w:color="auto"/>
        </w:rPr>
        <w:t xml:space="preserve"> которой составляет организация временного трудоустройства учащихся школ и студентов (в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возрасте от </w:t>
      </w:r>
      <w:r>
        <w:rPr>
          <w:rFonts w:ascii="Times New Roman" w:hAnsi="Times New Roman" w:cs="Times New Roman" w:eastAsiaTheme="majorEastAsia"/>
          <w:bCs/>
          <w:sz w:val="28"/>
          <w:szCs w:val="28"/>
        </w:rPr>
        <w:t xml:space="preserve">14 до 30 лет)</w:t>
      </w:r>
      <w:r>
        <w:rPr>
          <w:rFonts w:ascii="Times New Roman" w:hAnsi="Times New Roman" w:cs="Times New Roman" w:eastAsiaTheme="majorEastAsia"/>
          <w:sz w:val="28"/>
          <w:szCs w:val="28"/>
          <w:shd w:val="clear" w:fill="FFFFFF" w:color="auto"/>
        </w:rPr>
        <w:t xml:space="preserve"> в свободное от учебы время. На решение этой задачи направлен и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Закон Калужской области                   «О содействии молодежи в поиске работы». </w:t>
      </w:r>
      <w:r>
        <w:rPr>
          <w:rFonts w:eastAsiaTheme="majorEastAsia"/>
        </w:rPr>
      </w:r>
    </w:p>
    <w:p>
      <w:pPr>
        <w:pStyle w:val="928"/>
        <w:ind w:firstLine="709"/>
        <w:jc w:val="center"/>
        <w:spacing w:after="0" w:afterAutospacing="0" w:before="0" w:beforeAutospacing="0"/>
        <w:rPr>
          <w:b/>
          <w:sz w:val="28"/>
          <w:szCs w:val="28"/>
        </w:rPr>
      </w:pPr>
      <w:r>
        <w:rPr>
          <w:rFonts w:eastAsiaTheme="majorEastAsia"/>
          <w:b/>
          <w:sz w:val="28"/>
          <w:szCs w:val="28"/>
        </w:rPr>
      </w:r>
      <w:r>
        <w:rPr>
          <w:rFonts w:eastAsiaTheme="majorEastAsia"/>
        </w:rPr>
      </w:r>
    </w:p>
    <w:p>
      <w:pPr>
        <w:pStyle w:val="928"/>
        <w:ind w:firstLine="709"/>
        <w:jc w:val="center"/>
        <w:spacing w:after="0" w:afterAutospacing="0" w:before="0" w:beforeAutospacing="0"/>
        <w:rPr>
          <w:b/>
          <w:sz w:val="28"/>
          <w:szCs w:val="28"/>
        </w:rPr>
      </w:pPr>
      <w:r>
        <w:rPr>
          <w:rFonts w:eastAsiaTheme="majorEastAsia"/>
          <w:b/>
          <w:sz w:val="28"/>
          <w:szCs w:val="28"/>
        </w:rPr>
        <w:t xml:space="preserve">Орловская область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Во всех профессиональных образовательных организациях области созданы отделы и центры содействия трудоустройству обучающихся. 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eastAsiaTheme="majorEastAsia"/>
          <w:sz w:val="28"/>
        </w:rPr>
        <w:t xml:space="preserve">В числе проведенных мероприятий по содействию </w:t>
      </w:r>
      <w:r>
        <w:rPr>
          <w:rFonts w:ascii="Times New Roman" w:hAnsi="Times New Roman" w:cs="Times New Roman" w:eastAsiaTheme="majorEastAsia"/>
          <w:sz w:val="28"/>
        </w:rPr>
        <w:t xml:space="preserve">занятости молодежи регионального центра занятости населения</w:t>
      </w:r>
      <w:r>
        <w:rPr>
          <w:rFonts w:ascii="Times New Roman" w:hAnsi="Times New Roman" w:cs="Times New Roman" w:eastAsiaTheme="majorEastAsia"/>
          <w:sz w:val="28"/>
        </w:rPr>
        <w:t xml:space="preserve"> в 2020 году: 8</w:t>
      </w:r>
      <w:r>
        <w:rPr>
          <w:rFonts w:ascii="Times New Roman" w:hAnsi="Times New Roman" w:cs="Times New Roman" w:eastAsiaTheme="majorEastAsia"/>
          <w:sz w:val="28"/>
        </w:rPr>
        <w:t xml:space="preserve">5 ярмарок вакансий и учебных рабочих мест, в которых участвовали 249 предприятий                            и организаций; психологическая поддержка 960 безработных; профессиональное обучение и дополнительное профессиональное образование 1146 безработных; </w:t>
      </w:r>
      <w:r>
        <w:rPr>
          <w:rFonts w:ascii="Times New Roman" w:hAnsi="Times New Roman" w:cs="Times New Roman" w:eastAsiaTheme="majorEastAsia"/>
          <w:sz w:val="28"/>
        </w:rPr>
        <w:t xml:space="preserve">организация оплачиваемых общественных работ – 570 участников и временного трудоустройства несовершеннолетних в возрасте от 14 до 18 лет в свободное от учебы время –  996 участников; трудоустройство 169 безработных граждан в возрасте </w:t>
      </w:r>
      <w:r>
        <w:rPr>
          <w:rFonts w:ascii="Times New Roman" w:hAnsi="Times New Roman" w:cs="Times New Roman" w:eastAsiaTheme="majorEastAsia"/>
          <w:sz w:val="28"/>
        </w:rPr>
        <w:br/>
        <w:t xml:space="preserve">от 18 до 20 лет, имеющих среднее профессиональное образование и ищущих работу впервые; выплата 153 человеку стипендии в период прохождения профессионального обучения и получения дополнительного профессионального образования.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eastAsiaTheme="majorEastAsia"/>
          <w:sz w:val="28"/>
        </w:rPr>
        <w:t xml:space="preserve">В рамках регионально</w:t>
      </w:r>
      <w:r>
        <w:rPr>
          <w:rFonts w:ascii="Times New Roman" w:hAnsi="Times New Roman" w:cs="Times New Roman" w:eastAsiaTheme="majorEastAsia"/>
          <w:sz w:val="28"/>
        </w:rPr>
        <w:t xml:space="preserve">го проекта «Содействие занятости женщин - создание условий дошкольного образования для детей в возрасте до трех лет» организовано переобучение и повышение квалификации 201 женщины, большая часть из которых, очевидно, также относится к категории «молодёжь».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eastAsiaTheme="majorEastAsia"/>
          <w:sz w:val="28"/>
        </w:rPr>
        <w:t xml:space="preserve">С целью стимулирования выпускников и молодых специалистов </w:t>
      </w:r>
      <w:r>
        <w:rPr>
          <w:rFonts w:ascii="Times New Roman" w:hAnsi="Times New Roman" w:cs="Times New Roman" w:eastAsiaTheme="majorEastAsia"/>
          <w:sz w:val="28"/>
        </w:rPr>
        <w:br/>
        <w:t xml:space="preserve">с инвалидностью к дальнейшему профессиональному и личностному росту был проведен региональный отборочный этап VI Национального чемпионата по профессиональному мастерству среди инвалидов и лиц с ограниченными возможностями здоровья «</w:t>
      </w:r>
      <w:r>
        <w:rPr>
          <w:rFonts w:ascii="Times New Roman" w:hAnsi="Times New Roman" w:cs="Times New Roman" w:eastAsiaTheme="majorEastAsia"/>
          <w:sz w:val="28"/>
        </w:rPr>
        <w:t xml:space="preserve">Абилимпикс</w:t>
      </w:r>
      <w:r>
        <w:rPr>
          <w:rFonts w:ascii="Times New Roman" w:hAnsi="Times New Roman" w:cs="Times New Roman" w:eastAsiaTheme="majorEastAsia"/>
          <w:sz w:val="28"/>
        </w:rPr>
        <w:t xml:space="preserve">» по 18 компетенциям, в котором приняли участие 90 учащихся </w:t>
      </w:r>
      <w:r>
        <w:rPr>
          <w:rFonts w:ascii="Times New Roman" w:hAnsi="Times New Roman" w:cs="Times New Roman" w:eastAsiaTheme="majorEastAsia"/>
          <w:sz w:val="28"/>
        </w:rPr>
        <w:t xml:space="preserve">региона. По результатам финала этого чемпионата победителем (золотая медаль) в компетенции «Разработчик виртуальной и дополненной реальности» стал студент Орловского технологического техникума» Бобков Антон, а в тройку лидеров финала - Волонтерский центр «</w:t>
      </w:r>
      <w:r>
        <w:rPr>
          <w:rFonts w:ascii="Times New Roman" w:hAnsi="Times New Roman" w:cs="Times New Roman" w:eastAsiaTheme="majorEastAsia"/>
          <w:sz w:val="28"/>
        </w:rPr>
        <w:t xml:space="preserve">Абилимпикс</w:t>
      </w:r>
      <w:r>
        <w:rPr>
          <w:rFonts w:ascii="Times New Roman" w:hAnsi="Times New Roman" w:cs="Times New Roman" w:eastAsiaTheme="majorEastAsia"/>
          <w:sz w:val="28"/>
        </w:rPr>
        <w:t xml:space="preserve">» Орловской области.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</w:r>
      <w:r>
        <w:rPr>
          <w:rFonts w:eastAsiaTheme="majorEastAsia"/>
        </w:rPr>
      </w:r>
    </w:p>
    <w:p>
      <w:pPr>
        <w:ind w:right="-1" w:firstLine="993"/>
        <w:jc w:val="center"/>
        <w:spacing w:lineRule="auto" w:line="24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eastAsiaTheme="majorEastAsia"/>
          <w:b/>
          <w:sz w:val="28"/>
          <w:szCs w:val="28"/>
        </w:rPr>
        <w:t xml:space="preserve">Гаврилов-Ямской</w:t>
      </w:r>
      <w:r>
        <w:rPr>
          <w:rFonts w:ascii="Times New Roman" w:hAnsi="Times New Roman" w:cs="Times New Roman" w:eastAsiaTheme="majorEastAsia"/>
          <w:b/>
          <w:sz w:val="28"/>
          <w:szCs w:val="28"/>
        </w:rPr>
        <w:t xml:space="preserve"> муниципальный район Ярославской области</w:t>
      </w:r>
      <w:r>
        <w:rPr>
          <w:rFonts w:eastAsiaTheme="majorEastAsia"/>
        </w:rPr>
      </w:r>
    </w:p>
    <w:p>
      <w:pPr>
        <w:ind w:right="-1" w:firstLine="709"/>
        <w:jc w:val="both"/>
        <w:spacing w:lineRule="auto" w:line="24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В число приоритетов </w:t>
      </w:r>
      <w:r>
        <w:rPr>
          <w:rFonts w:ascii="Times New Roman" w:hAnsi="Times New Roman" w:cs="Times New Roman" w:eastAsiaTheme="majorEastAsia"/>
          <w:bCs/>
          <w:sz w:val="28"/>
          <w:szCs w:val="28"/>
          <w:shd w:val="clear" w:fill="FFFFFF" w:color="auto"/>
        </w:rPr>
        <w:t xml:space="preserve">Муниципального учреждения «Молодежный центр»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Гаврилов-Ямского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муниципального района Ярославской области</w:t>
      </w:r>
      <w:r>
        <w:rPr>
          <w:rFonts w:ascii="Times New Roman" w:hAnsi="Times New Roman" w:cs="Times New Roman" w:eastAsiaTheme="majorEastAsia"/>
          <w:b/>
          <w:sz w:val="28"/>
          <w:szCs w:val="28"/>
        </w:rPr>
        <w:t xml:space="preserve"> </w:t>
      </w:r>
      <w:r>
        <w:rPr>
          <w:rFonts w:ascii="Times New Roman" w:hAnsi="Times New Roman" w:cs="Times New Roman" w:eastAsiaTheme="majorEastAsia"/>
          <w:bCs/>
          <w:sz w:val="28"/>
          <w:szCs w:val="28"/>
          <w:shd w:val="clear" w:fill="FFFFFF" w:color="auto"/>
        </w:rPr>
        <w:t xml:space="preserve">входит с</w:t>
      </w:r>
      <w:r>
        <w:rPr>
          <w:rFonts w:ascii="Times New Roman" w:hAnsi="Times New Roman" w:cs="Times New Roman" w:eastAsiaTheme="majorEastAsia"/>
          <w:sz w:val="28"/>
          <w:szCs w:val="28"/>
          <w:shd w:val="clear" w:fill="FFFFFF" w:color="auto"/>
        </w:rPr>
        <w:t xml:space="preserve">одействие профессиональному самоопределению и трудовой занятости молодежи, а также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программа «Организация временного трудоустройства несовершеннолетних 14-17 лет». Финансирование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программы осуществляется из областного бюджета в виде субсидий, а также средств местного бюджета. </w:t>
      </w:r>
      <w:r>
        <w:rPr>
          <w:rFonts w:eastAsiaTheme="majorEastAsia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Реализация программы складывается из двух этапов: информирование работодателей и подростков об условиях реализации программы; трудоустройство подростков на временные рабочие места.</w:t>
      </w:r>
      <w:r>
        <w:rPr>
          <w:rFonts w:eastAsiaTheme="majorEastAsia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С начала года Молодежный центр проводит первый этап информирования работодателей и подростков о действии программы.                   На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этом этапе разрабатывается, изготавливается и размещается стенд                      с информацией о действии программы. Одновременно проводится мониторинг среди работодателей с целью выявления временных рабочих мест для трудоустройства несовершеннолетних.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</w:r>
      <w:r>
        <w:rPr>
          <w:rFonts w:eastAsiaTheme="majorEastAsia"/>
        </w:rPr>
      </w:r>
    </w:p>
    <w:p>
      <w:pPr>
        <w:jc w:val="center"/>
        <w:spacing w:lineRule="auto" w:line="24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eastAsiaTheme="majorEastAsia"/>
          <w:b/>
          <w:sz w:val="28"/>
          <w:szCs w:val="28"/>
        </w:rPr>
        <w:t xml:space="preserve">Ивановская область</w:t>
      </w:r>
      <w:r>
        <w:rPr>
          <w:rFonts w:eastAsiaTheme="majorEastAsia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Областной государственной программой «Содействие занятости населения Ивановской области» на период 2014 - 2024 года в части обеспечения занятости молодежи и её интересов на рынке труда предусмотрены: 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организация временного трудоустройства граждан в возрасте от 14  до 18 лет, безработных граждан в возрасте от 18 до 20 лет, имеющих среднее профессиональное образование и ищущих работу впервые; 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стажировка выпускников образовательных организаций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среднего профессионального образования с целью приобретения ими опыта и навыков работы по полученной профессии. В этих целях - заключение соответствующих соглашений с организациями и предпринимателями, предоставление им субсидий на организацию стажировок. 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Удельный вес безр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аботных граждан в возрасте 16 –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29 лет, ищущих работу 12 и более месяцев, в общей численности безработных граждан, зарегистрированных в органах службы занятости составляет 0,9%.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С 2020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 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           по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2024 гг. планируется трудоустроить более 220 выпускников учреждений среднего профессионального образования, из которых за полтора года              (2020-1-е полугодие 2021) 51 молодой специалист прошел стажировку непосредственно на рабочих местах и треть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из них трудоустроилась                      на постоянную работу по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месту прохождения практики. Проведена рабо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та              по региональной поддержке в актуальном состоянии сведений о свободных рабочих местах и вакантных должностях на Общероссийском портале "Работа в России". Информирование граждан о возможностях трудоустройства осуществлялось в ходе проведения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разноформатных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специализированных ярмарок вакансий, а также выездов в отдаленные районы области с использованием мобильных центров занятости. Работали телефоны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"горячей линии", обеспечен доступ к общероссийской базе вакансий. В 2018-2020 годах реализовывался проект «Сопровождение инвалидов молодого возраста при получении ими профессионального образования, содействие в трудоустройстве и развитие наставничества». </w:t>
      </w:r>
      <w:r>
        <w:rPr>
          <w:rFonts w:eastAsiaTheme="majorEastAsia"/>
        </w:rPr>
      </w:r>
    </w:p>
    <w:p>
      <w:pPr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ab/>
      </w:r>
      <w:r>
        <w:rPr>
          <w:rFonts w:eastAsiaTheme="majorEastAsia"/>
        </w:rPr>
      </w:r>
    </w:p>
    <w:p>
      <w:pPr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</w:r>
      <w:r>
        <w:rPr>
          <w:rFonts w:eastAsiaTheme="majorEastAsia"/>
        </w:rPr>
      </w:r>
    </w:p>
    <w:p>
      <w:pPr>
        <w:jc w:val="center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eastAsiaTheme="majorEastAsia"/>
        </w:rPr>
      </w:r>
      <w:hyperlink r:id="rId13" w:tooltip="https://ru.wikipedia.org/wiki/%D0%A4%D0%B5%D0%B4%D0%B5%D1%80%D0%B0%D0%BB%D1%8C%D0%BD%D1%8B%D0%B5_%D0%BE%D0%BA%D1%80%D1%83%D0%B3%D0%B0_%D0%A0%D0%BE%D1%81%D1%81%D0%B8%D0%B9%D1%81%D0%BA%D0%BE%D0%B9_%D0%A4%D0%B5%D0%B4%D0%B5%D1%80%D0%B0%D1%86%D0%B8%D0%B8#%D0%A1%D0%" w:anchor="%D0%A1%D0%B5%D0%B2%D0%B5%D1%80%D0%BE-%D0%97%D0%B0%D0%BF%D0%B0%D0%B4%D0%BD%D1%8B%D0%B9" w:history="1">
        <w:r>
          <w:rPr>
            <w:rStyle w:val="922"/>
            <w:rFonts w:ascii="Times New Roman" w:hAnsi="Times New Roman" w:eastAsiaTheme="majorEastAsia"/>
            <w:color w:val="auto"/>
            <w:sz w:val="28"/>
            <w:szCs w:val="28"/>
            <w:u w:val="none"/>
          </w:rPr>
          <w:t xml:space="preserve">СЕВЕРО-ЗАПАДНЫЙ</w:t>
        </w:r>
      </w:hyperlink>
      <w:r>
        <w:rPr>
          <w:rFonts w:ascii="Times New Roman" w:hAnsi="Times New Roman" w:cs="Times New Roman" w:eastAsiaTheme="majorEastAsia"/>
          <w:sz w:val="28"/>
          <w:szCs w:val="28"/>
          <w:lang w:eastAsia="ru-RU"/>
        </w:rPr>
        <w:t xml:space="preserve"> ФЕДЕРАЛЬНЫЙ ОКРУГ</w:t>
      </w:r>
      <w:r>
        <w:rPr>
          <w:rFonts w:eastAsiaTheme="majorEastAsia"/>
        </w:rPr>
      </w:r>
    </w:p>
    <w:p>
      <w:pPr>
        <w:jc w:val="center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 w:eastAsiaTheme="majorEastAsia"/>
          <w:sz w:val="28"/>
          <w:szCs w:val="28"/>
          <w:lang w:eastAsia="ru-RU"/>
        </w:rPr>
      </w:r>
      <w:r>
        <w:rPr>
          <w:rFonts w:eastAsiaTheme="majorEastAsia"/>
        </w:rPr>
      </w:r>
    </w:p>
    <w:p>
      <w:pPr>
        <w:jc w:val="center"/>
        <w:spacing w:lineRule="auto" w:line="24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eastAsiaTheme="majorEastAsia"/>
          <w:b/>
          <w:sz w:val="28"/>
        </w:rPr>
        <w:t xml:space="preserve">Вологодская область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eastAsiaTheme="majorEastAsia"/>
          <w:sz w:val="28"/>
        </w:rPr>
        <w:t xml:space="preserve">В настоящее время на территории области реализуется проект «Молодёжный кадровый резерв»: конкурс претендентов на должности специалистов государственной гражданской службы; </w:t>
      </w:r>
      <w:r>
        <w:rPr>
          <w:rFonts w:ascii="Times New Roman" w:hAnsi="Times New Roman" w:cs="Times New Roman" w:eastAsiaTheme="majorEastAsia"/>
          <w:sz w:val="28"/>
        </w:rPr>
        <w:t xml:space="preserve">ежегодные                       «Дни карьеры молодёжи» в районных центрах; соглашение между Департаментом труда и занятости населения области, Администрацией Вологды и городским отделением РСПП по трудоустройству подростков                в летний период. 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eastAsiaTheme="majorEastAsia"/>
          <w:sz w:val="28"/>
        </w:rPr>
        <w:t xml:space="preserve">Постановлением областного правительства «О комплексе мероприятий, направленных на развитие системы профориентации и содействия занятости молодежи в Вологодской области в 2021-2022 го</w:t>
      </w:r>
      <w:r>
        <w:rPr>
          <w:rFonts w:ascii="Times New Roman" w:hAnsi="Times New Roman" w:cs="Times New Roman" w:eastAsiaTheme="majorEastAsia"/>
          <w:sz w:val="28"/>
        </w:rPr>
        <w:t xml:space="preserve">ду</w:t>
      </w:r>
      <w:r>
        <w:rPr>
          <w:rFonts w:ascii="Times New Roman" w:hAnsi="Times New Roman" w:cs="Times New Roman" w:eastAsiaTheme="majorEastAsia"/>
          <w:sz w:val="28"/>
        </w:rPr>
        <w:t xml:space="preserve">» предусматриваются меры по материальной поддержке молодых, а именно: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eastAsiaTheme="majorEastAsia"/>
          <w:sz w:val="28"/>
        </w:rPr>
        <w:t xml:space="preserve">- по 4 тыс</w:t>
      </w:r>
      <w:r>
        <w:rPr>
          <w:rFonts w:ascii="Times New Roman" w:hAnsi="Times New Roman" w:cs="Times New Roman" w:eastAsiaTheme="majorEastAsia"/>
          <w:sz w:val="28"/>
        </w:rPr>
        <w:t xml:space="preserve">.р</w:t>
      </w:r>
      <w:r>
        <w:rPr>
          <w:rFonts w:ascii="Times New Roman" w:hAnsi="Times New Roman" w:cs="Times New Roman" w:eastAsiaTheme="majorEastAsia"/>
          <w:sz w:val="28"/>
        </w:rPr>
        <w:t xml:space="preserve">уб. ежемесячно получают студенты медицинских вузов                   в РФ, обучающиеся (не на условиях целевого приема) по специальностям «лечебное дело», «педиатрия», «стоматология», а также лица, обучающиеся                 в ординатуре;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eastAsiaTheme="majorEastAsia"/>
          <w:sz w:val="28"/>
        </w:rPr>
        <w:t xml:space="preserve">- 5 ежемесячных стипендий Губернатора области для поощрения студентов педагогических вузов, обучающихся за пределами области                      в размере 3 тыс</w:t>
      </w:r>
      <w:r>
        <w:rPr>
          <w:rFonts w:ascii="Times New Roman" w:hAnsi="Times New Roman" w:cs="Times New Roman" w:eastAsiaTheme="majorEastAsia"/>
          <w:sz w:val="28"/>
        </w:rPr>
        <w:t xml:space="preserve">.р</w:t>
      </w:r>
      <w:r>
        <w:rPr>
          <w:rFonts w:ascii="Times New Roman" w:hAnsi="Times New Roman" w:cs="Times New Roman" w:eastAsiaTheme="majorEastAsia"/>
          <w:sz w:val="28"/>
        </w:rPr>
        <w:t xml:space="preserve">уб.;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eastAsiaTheme="majorEastAsia"/>
          <w:sz w:val="28"/>
        </w:rPr>
        <w:t xml:space="preserve">- 10 ежемесячных стипендий Губернатора области для поощрения аспирантов, адъюнктов в размере 6000 рублей; 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eastAsiaTheme="majorEastAsia"/>
          <w:sz w:val="28"/>
        </w:rPr>
        <w:t xml:space="preserve">- 25 ежегодных премий Губернатора области для поощрения студентов (курсантов) – отличников учебы в размере 10000 рублей; 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eastAsiaTheme="majorEastAsia"/>
          <w:sz w:val="28"/>
        </w:rPr>
        <w:t xml:space="preserve">- единовременная выплата специалистам агропро</w:t>
      </w:r>
      <w:r>
        <w:rPr>
          <w:rFonts w:ascii="Times New Roman" w:hAnsi="Times New Roman" w:cs="Times New Roman" w:eastAsiaTheme="majorEastAsia"/>
          <w:sz w:val="28"/>
        </w:rPr>
        <w:t xml:space="preserve">мышленного комплекса в возрасте до 35 лет, поступившим на работу                                              в сельскохозяйственные организации, организации переработки, крестьянские (фермерские) хозяйства, государственные ветеринарные учреждения области;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eastAsiaTheme="majorEastAsia"/>
          <w:sz w:val="28"/>
        </w:rPr>
        <w:t xml:space="preserve">- ежемесячная денежная выплата студентам сельскохозяйственных вузов, обучающимся на условиях целевого контракта;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eastAsiaTheme="majorEastAsia"/>
          <w:sz w:val="28"/>
        </w:rPr>
        <w:t xml:space="preserve">- субсидии на возмещение сельскохозяйственным товаропроизво</w:t>
      </w:r>
      <w:r>
        <w:rPr>
          <w:rFonts w:ascii="Times New Roman" w:hAnsi="Times New Roman" w:cs="Times New Roman" w:eastAsiaTheme="majorEastAsia"/>
          <w:sz w:val="28"/>
        </w:rPr>
        <w:t xml:space="preserve">дителям части фактически понесенных затрат по заключенным с работниками ученическим договорам и договорам о целевом обучении,                 а также связанным с оплатой труда и проживанием студентов, привлеченным для прохождения производственной практики.</w:t>
      </w:r>
      <w:r>
        <w:rPr>
          <w:rFonts w:eastAsiaTheme="majorEastAsia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eastAsiaTheme="majorEastAsia"/>
          <w:sz w:val="28"/>
        </w:rPr>
        <w:t xml:space="preserve">Предусмотрен ряд других выплат и льгот молодым работникам                      и семьям, направленных на обеспечение их занятости и закрепления                       на вологодской земле.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eastAsiaTheme="majorEastAsia"/>
          <w:sz w:val="28"/>
        </w:rPr>
        <w:t xml:space="preserve">Департамент труда и занятости населения области осуществляет программы и акции для поддержки молодежи: сельский доктор, сельский учитель, молодой специалист на селе, </w:t>
      </w:r>
      <w:r>
        <w:rPr>
          <w:rFonts w:ascii="Times New Roman" w:hAnsi="Times New Roman" w:cs="Times New Roman" w:eastAsiaTheme="majorEastAsia"/>
          <w:sz w:val="28"/>
        </w:rPr>
        <w:t xml:space="preserve">профстарт</w:t>
      </w:r>
      <w:r>
        <w:rPr>
          <w:rFonts w:ascii="Times New Roman" w:hAnsi="Times New Roman" w:cs="Times New Roman" w:eastAsiaTheme="majorEastAsia"/>
          <w:sz w:val="28"/>
        </w:rPr>
        <w:t xml:space="preserve"> - стажировки                              </w:t>
      </w:r>
      <w:r>
        <w:rPr>
          <w:rFonts w:ascii="Times New Roman" w:hAnsi="Times New Roman" w:cs="Times New Roman" w:eastAsiaTheme="majorEastAsia"/>
          <w:sz w:val="28"/>
        </w:rPr>
        <w:t xml:space="preserve">для выпускников, </w:t>
      </w:r>
      <w:r>
        <w:rPr>
          <w:rFonts w:ascii="Times New Roman" w:hAnsi="Times New Roman" w:cs="Times New Roman" w:eastAsiaTheme="majorEastAsia"/>
          <w:sz w:val="28"/>
        </w:rPr>
        <w:t xml:space="preserve">профориентационные</w:t>
      </w:r>
      <w:r>
        <w:rPr>
          <w:rFonts w:ascii="Times New Roman" w:hAnsi="Times New Roman" w:cs="Times New Roman" w:eastAsiaTheme="majorEastAsia"/>
          <w:sz w:val="28"/>
        </w:rPr>
        <w:t xml:space="preserve"> акции </w:t>
      </w:r>
      <w:r>
        <w:rPr>
          <w:rFonts w:ascii="Times New Roman" w:hAnsi="Times New Roman" w:cs="Times New Roman" w:eastAsiaTheme="majorEastAsia"/>
          <w:sz w:val="28"/>
        </w:rPr>
        <w:t xml:space="preserve">«выбираю профессию»                       и «день карьеры молодежи», а также: «после армии – домой», трудовое лето, «после вуза – домой», урок занятости, урок трудовых отношений "стратегия трудового успеха", ярмарка вакансий «один день – 100 возможностей».</w:t>
      </w:r>
      <w:r>
        <w:rPr>
          <w:rFonts w:eastAsiaTheme="majorEastAsia"/>
        </w:rPr>
      </w:r>
    </w:p>
    <w:p>
      <w:pPr>
        <w:ind w:firstLine="708"/>
        <w:jc w:val="center"/>
        <w:spacing w:lineRule="auto" w:line="240" w:after="0"/>
        <w:rPr>
          <w:rFonts w:ascii="Times New Roman" w:hAnsi="Times New Roman" w:cs="Times New Roman"/>
          <w:b/>
          <w:sz w:val="28"/>
          <w:shd w:val="clear" w:fill="FFFFFF" w:color="auto"/>
        </w:rPr>
      </w:pPr>
      <w:r>
        <w:rPr>
          <w:rFonts w:ascii="Times New Roman" w:hAnsi="Times New Roman" w:cs="Times New Roman" w:eastAsiaTheme="majorEastAsia"/>
          <w:b/>
          <w:sz w:val="28"/>
          <w:shd w:val="clear" w:fill="FFFFFF" w:color="auto"/>
        </w:rPr>
      </w:r>
      <w:r>
        <w:rPr>
          <w:rFonts w:eastAsiaTheme="majorEastAsia"/>
        </w:rPr>
      </w:r>
    </w:p>
    <w:p>
      <w:pPr>
        <w:ind w:firstLine="708"/>
        <w:jc w:val="center"/>
        <w:spacing w:lineRule="auto" w:line="240"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 w:eastAsiaTheme="majorEastAsia"/>
          <w:b/>
          <w:sz w:val="28"/>
          <w:shd w:val="clear" w:fill="FFFFFF" w:color="auto"/>
        </w:rPr>
        <w:t xml:space="preserve">Республика Карелия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 w:eastAsia="Calibri"/>
          <w:sz w:val="28"/>
          <w:szCs w:val="24"/>
          <w:shd w:val="clear" w:fill="FFFFFF" w:color="auto"/>
        </w:rPr>
      </w:pPr>
      <w:r>
        <w:rPr>
          <w:rFonts w:ascii="Times New Roman" w:hAnsi="Times New Roman" w:cs="Times New Roman" w:eastAsiaTheme="majorEastAsia"/>
          <w:sz w:val="28"/>
          <w:szCs w:val="24"/>
          <w:shd w:val="clear" w:fill="FFFFFF" w:color="auto"/>
        </w:rPr>
        <w:t xml:space="preserve">В 2018 году стартовали «Лидеры Карелии»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–</w:t>
      </w:r>
      <w:r>
        <w:rPr>
          <w:rFonts w:ascii="Times New Roman" w:hAnsi="Times New Roman" w:cs="Times New Roman" w:eastAsiaTheme="majorEastAsia"/>
          <w:sz w:val="28"/>
          <w:szCs w:val="24"/>
          <w:shd w:val="clear" w:fill="FFFFFF" w:color="auto"/>
        </w:rPr>
        <w:t xml:space="preserve"> проект нового поколения управленцев - молодых специалистов, готовых к реальной конкуренции. Основные задачи этого ежегодного конкурса: </w:t>
      </w:r>
      <w:r>
        <w:rPr>
          <w:rFonts w:ascii="Times New Roman" w:hAnsi="Times New Roman" w:cs="Times New Roman" w:eastAsiaTheme="majorEastAsia"/>
          <w:sz w:val="28"/>
          <w:szCs w:val="24"/>
        </w:rPr>
        <w:t xml:space="preserve">выявить и поддержать инициативных управленцев с высоким уровнем развития лидерских качеств и управленческих компетенций; привлечь лидеров к решению социальных проблем Республики.</w:t>
      </w:r>
      <w:r>
        <w:rPr>
          <w:rFonts w:ascii="Times New Roman" w:hAnsi="Times New Roman" w:cs="Times New Roman" w:eastAsiaTheme="majorEastAsia"/>
          <w:sz w:val="28"/>
          <w:szCs w:val="24"/>
          <w:shd w:val="clear" w:fill="FFFFFF" w:color="auto"/>
        </w:rPr>
        <w:t xml:space="preserve"> Каждый этап проекта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–</w:t>
      </w:r>
      <w:r>
        <w:rPr>
          <w:rFonts w:ascii="Times New Roman" w:hAnsi="Times New Roman" w:cs="Times New Roman" w:eastAsiaTheme="majorEastAsia"/>
          <w:sz w:val="28"/>
          <w:szCs w:val="24"/>
          <w:shd w:val="clear" w:fill="FFFFFF" w:color="auto"/>
        </w:rPr>
        <w:t xml:space="preserve"> инструмент для карьерного роста, хороший старт молодых управленцев, руководителей низового                         и среднего звена, полезное общение.</w:t>
      </w:r>
      <w:r>
        <w:rPr>
          <w:rFonts w:eastAsiaTheme="majorEastAsia"/>
        </w:rPr>
      </w:r>
    </w:p>
    <w:p>
      <w:pPr>
        <w:rPr>
          <w:lang w:eastAsia="ru-RU"/>
        </w:rPr>
      </w:pPr>
      <w:r>
        <w:rPr>
          <w:rFonts w:eastAsiaTheme="majorEastAsia"/>
          <w:lang w:eastAsia="ru-RU"/>
        </w:rPr>
      </w:r>
      <w:r>
        <w:rPr>
          <w:rFonts w:eastAsiaTheme="majorEastAsia"/>
        </w:rPr>
      </w:r>
    </w:p>
    <w:p>
      <w:pPr>
        <w:ind w:firstLine="709"/>
        <w:jc w:val="center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b/>
          <w:sz w:val="28"/>
          <w:szCs w:val="28"/>
        </w:rPr>
        <w:t xml:space="preserve">Санкт-Петербург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Первую в России ярмарку вакансий провела в феврале 1992 г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ода Молодежная биржа труда совместно с Комитетом по занятости населения. Ярмарки вакансий стали одним из самых эффективных инструментов трудоустройства молодежи. Они проводятся на регулярной основе не только в Санкт-Петербурге, но и в большинстве регионов.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Во всех административных образованиях города действуют  программы для молодых специалистов - работников, окончивших полный учебный ку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рс в пр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офессиональных образовательных учреждениях, впервые поступивших на оплачиваем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ую должность по своей специальности (такой статус действителен в течение года после получения диплома). Для них предусматриваются и рекомендуются работодателям: единовременные выплаты при трудоустройстве; компенсация расходов на транспорт; льготные кредиты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, субсидии на приобретение (строительство) жилья                   или предоставление корпоративного жилья; беспроцентная ссуда                           на обустройство; возмещение (частичное или полное) расходов на оплату дошкольных учреждений для детей.</w:t>
      </w:r>
      <w:r>
        <w:rPr>
          <w:rFonts w:eastAsiaTheme="majorEastAsia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Основные направления деят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ельности по содействию занятости – это: профессиональная ориентация и психологическая поддержка безработной молодежи в выборе профессии, методов и способов самостоятельного поиска работы; профессиональная подготовка, переподготовка и повышение квалификации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с учетом потребностей рынка труда; ярмарки вакансий для молодежи; организация временного трудоустройства несовершеннолетних граждан в возрасте 14 – 18 лет; организация временного трудоустройства безработных граждан, испытывающих трудности в поиске работы;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орг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анизация оплачиваемых общественных работ; оказание содействия в трудоустройстве молодежи в возрасте от 18 до 20, имеющим среднее профессиональное образование и ищущие работу впервые; поддержка предпринимательской инициативы и создание условий для развития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самозанятости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, со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действие в развитии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и поддержке малого бизнеса; социальная адаптация безработной молодежи на рынке труда; информирование о положении на рынке труда                                 и консультирование по вопросам трудоустройства;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помощь в составлении резюме.</w:t>
      </w:r>
      <w:r>
        <w:rPr>
          <w:rFonts w:eastAsiaTheme="majorEastAsia"/>
        </w:rPr>
      </w:r>
    </w:p>
    <w:p>
      <w:pPr>
        <w:jc w:val="center"/>
        <w:rPr>
          <w:lang w:eastAsia="ru-RU"/>
        </w:rPr>
      </w:pPr>
      <w:r>
        <w:rPr>
          <w:rFonts w:eastAsiaTheme="majorEastAsia"/>
          <w:lang w:eastAsia="ru-RU"/>
        </w:rPr>
      </w:r>
      <w:r>
        <w:rPr>
          <w:rFonts w:eastAsiaTheme="majorEastAsia"/>
        </w:rPr>
      </w:r>
    </w:p>
    <w:p>
      <w:pPr>
        <w:ind w:right="-851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eastAsiaTheme="majorEastAsia"/>
        </w:rPr>
        <w:t xml:space="preserve">                                                    </w:t>
      </w:r>
      <w:hyperlink r:id="rId14" w:tooltip="https://ru.wikipedia.org/wiki/%D0%A4%D0%B5%D0%B4%D0%B5%D1%80%D0%B0%D0%BB%D1%8C%D0%BD%D1%8B%D0%B5_%D0%BE%D0%BA%D1%80%D1%83%D0%B3%D0%B0_%D0%A0%D0%BE%D1%81%D1%81%D0%B8%D0%B9%D1%81%D0%BA%D0%BE%D0%B9_%D0%A4%D0%B5%D0%B4%D0%B5%D1%80%D0%B0%D1%86%D0%B8%D0%B8#%D0%AE%D0%" w:anchor="%D0%AE%D0%B6%D0%BD%D1%8B%D0%B9" w:history="1">
        <w:r>
          <w:rPr>
            <w:rStyle w:val="922"/>
            <w:rFonts w:ascii="Times New Roman" w:hAnsi="Times New Roman" w:eastAsiaTheme="majorEastAsia"/>
            <w:color w:val="auto"/>
            <w:sz w:val="28"/>
            <w:szCs w:val="28"/>
            <w:u w:val="none"/>
          </w:rPr>
          <w:t xml:space="preserve">ЮЖНЫЙ</w:t>
        </w:r>
      </w:hyperlink>
      <w:r>
        <w:rPr>
          <w:rFonts w:ascii="Times New Roman" w:hAnsi="Times New Roman" w:cs="Times New Roman" w:eastAsiaTheme="majorEastAsia"/>
          <w:sz w:val="28"/>
          <w:szCs w:val="28"/>
          <w:lang w:eastAsia="ru-RU"/>
        </w:rPr>
        <w:t xml:space="preserve"> ФЕДЕРАЛЬНЫЙ ОКРУГ</w:t>
      </w:r>
      <w:r>
        <w:rPr>
          <w:rFonts w:eastAsiaTheme="majorEastAsia"/>
        </w:rPr>
      </w:r>
    </w:p>
    <w:p>
      <w:pPr>
        <w:jc w:val="center"/>
        <w:spacing w:lineRule="auto" w:line="240" w:after="0"/>
        <w:rPr>
          <w:rFonts w:ascii="Times New Roman" w:hAnsi="Times New Roman" w:cs="Times New Roman" w:eastAsia="Calibri"/>
          <w:b/>
          <w:sz w:val="28"/>
          <w:szCs w:val="28"/>
        </w:rPr>
      </w:pPr>
      <w:r>
        <w:rPr>
          <w:rFonts w:ascii="Times New Roman" w:hAnsi="Times New Roman" w:cs="Times New Roman" w:eastAsiaTheme="majorEastAsia"/>
          <w:b/>
          <w:sz w:val="28"/>
        </w:rPr>
        <w:t xml:space="preserve">Волгоградская область</w:t>
      </w:r>
      <w:r>
        <w:rPr>
          <w:rFonts w:eastAsiaTheme="majorEastAsia"/>
        </w:rPr>
      </w:r>
    </w:p>
    <w:p>
      <w:pPr>
        <w:pStyle w:val="957"/>
        <w:ind w:firstLine="709"/>
        <w:rPr>
          <w:sz w:val="28"/>
        </w:rPr>
      </w:pPr>
      <w:r>
        <w:rPr>
          <w:rFonts w:eastAsiaTheme="majorEastAsia"/>
          <w:sz w:val="28"/>
        </w:rPr>
        <w:t xml:space="preserve">Министерством труда РФ и соответствующим министерством региона установлены требования к порядку определения потребностей в молодых специалистах и планированию поэтапной работы с ними, а именно: </w:t>
      </w:r>
      <w:bookmarkStart w:id="0" w:name="_Toc98911332"/>
      <w:r>
        <w:rPr>
          <w:rFonts w:eastAsiaTheme="majorEastAsia"/>
        </w:rPr>
      </w:r>
      <w:bookmarkStart w:id="1" w:name="_Toc98911478"/>
      <w:r>
        <w:rPr>
          <w:rFonts w:eastAsiaTheme="majorEastAsia"/>
        </w:rPr>
      </w:r>
      <w:bookmarkStart w:id="2" w:name="_Toc98915602"/>
      <w:r>
        <w:rPr>
          <w:rFonts w:eastAsiaTheme="majorEastAsia"/>
        </w:rPr>
      </w:r>
      <w:bookmarkStart w:id="3" w:name="_Toc98916704"/>
      <w:r>
        <w:rPr>
          <w:rFonts w:eastAsiaTheme="majorEastAsia"/>
        </w:rPr>
      </w:r>
      <w:bookmarkStart w:id="4" w:name="_Toc98916942"/>
      <w:r>
        <w:rPr>
          <w:rFonts w:eastAsiaTheme="majorEastAsia"/>
        </w:rPr>
      </w:r>
      <w:bookmarkStart w:id="5" w:name="_Toc521305181"/>
      <w:r>
        <w:rPr>
          <w:rFonts w:eastAsiaTheme="majorEastAsia"/>
        </w:rPr>
      </w:r>
      <w:bookmarkStart w:id="6" w:name="_Toc521812779"/>
      <w:r>
        <w:rPr>
          <w:rFonts w:eastAsiaTheme="majorEastAsia"/>
          <w:sz w:val="28"/>
        </w:rPr>
        <w:t xml:space="preserve">определение потребностей; привлечение и отбор; профессиональное развитие; социальная поддержка и мотивация, включая наставников молодых специалистов. </w:t>
      </w:r>
      <w:r>
        <w:rPr>
          <w:rFonts w:eastAsiaTheme="majorEastAsia"/>
        </w:rPr>
      </w:r>
    </w:p>
    <w:p>
      <w:pPr>
        <w:pStyle w:val="957"/>
        <w:ind w:firstLine="709"/>
        <w:rPr>
          <w:sz w:val="28"/>
        </w:rPr>
      </w:pPr>
      <w:r>
        <w:rPr>
          <w:rFonts w:eastAsiaTheme="majorEastAsia"/>
          <w:sz w:val="28"/>
        </w:rPr>
        <w:t xml:space="preserve">Под определением (ежегодное) потребн</w:t>
      </w:r>
      <w:r>
        <w:rPr>
          <w:rFonts w:eastAsiaTheme="majorEastAsia"/>
          <w:sz w:val="28"/>
        </w:rPr>
        <w:t xml:space="preserve">остей понимается формирование плана набора молодых специалистов в соответствии                           с прогнозом развития производства и ввода новых мощностей, а также  прогнозом движения персонала (естественное выбытие, текучесть, перемещения и т.п.).</w:t>
      </w:r>
      <w:r>
        <w:rPr>
          <w:rFonts w:eastAsiaTheme="majorEastAsia"/>
        </w:rPr>
      </w:r>
    </w:p>
    <w:p>
      <w:pPr>
        <w:pStyle w:val="950"/>
        <w:numPr>
          <w:ilvl w:val="0"/>
          <w:numId w:val="0"/>
        </w:numPr>
        <w:ind w:firstLine="709"/>
        <w:tabs>
          <w:tab w:val="num" w:pos="0" w:leader="none"/>
        </w:tabs>
        <w:rPr>
          <w:sz w:val="28"/>
        </w:rPr>
      </w:pPr>
      <w:r>
        <w:rPr>
          <w:rFonts w:eastAsiaTheme="majorEastAsia"/>
        </w:rPr>
      </w:r>
      <w:bookmarkStart w:id="7" w:name="_Ref140562863"/>
      <w:r>
        <w:rPr>
          <w:rFonts w:eastAsiaTheme="majorEastAsia"/>
          <w:sz w:val="28"/>
        </w:rPr>
        <w:t xml:space="preserve">Привлечение и отбор выпускников осуществляется на основании плана набора молодых специалистов в соответствии с требованиями к выпускнику учреждений профессионального образования (профессиональная компетентность и </w:t>
      </w:r>
      <w:r>
        <w:rPr>
          <w:rFonts w:eastAsiaTheme="majorEastAsia"/>
          <w:sz w:val="28"/>
        </w:rPr>
        <w:t xml:space="preserve">коммуникативность</w:t>
      </w:r>
      <w:r>
        <w:rPr>
          <w:rFonts w:eastAsiaTheme="majorEastAsia"/>
          <w:sz w:val="28"/>
        </w:rPr>
        <w:t xml:space="preserve">, понимание экономических аспектов конкретного </w:t>
      </w:r>
      <w:r>
        <w:rPr>
          <w:rFonts w:eastAsiaTheme="majorEastAsia"/>
          <w:sz w:val="28"/>
        </w:rPr>
        <w:t xml:space="preserve">бизнеса, инициативность и новаторство, ориентированность               на карьеру и развитие, способность к обучению и мобильность, компьютерная грамотность, положительный отзыв по результатам прохождения практики, желательное владение иностранным языком).</w:t>
      </w:r>
      <w:bookmarkEnd w:id="7"/>
      <w:r>
        <w:rPr>
          <w:rFonts w:eastAsiaTheme="majorEastAsia"/>
        </w:rPr>
      </w:r>
      <w:r>
        <w:rPr>
          <w:rFonts w:eastAsiaTheme="majorEastAsia"/>
        </w:rPr>
      </w:r>
    </w:p>
    <w:p>
      <w:pPr>
        <w:pStyle w:val="950"/>
        <w:numPr>
          <w:ilvl w:val="0"/>
          <w:numId w:val="0"/>
        </w:numPr>
        <w:ind w:firstLine="709"/>
        <w:spacing w:before="0"/>
        <w:rPr>
          <w:sz w:val="28"/>
        </w:rPr>
      </w:pPr>
      <w:r>
        <w:rPr>
          <w:rFonts w:eastAsiaTheme="majorEastAsia"/>
          <w:sz w:val="28"/>
        </w:rPr>
        <w:t xml:space="preserve">Профессиональное развитие молодых специалистов решает следующие задачи: </w:t>
      </w:r>
      <w:r>
        <w:rPr>
          <w:rFonts w:eastAsiaTheme="majorEastAsia"/>
          <w:spacing w:val="-2"/>
          <w:sz w:val="28"/>
          <w:szCs w:val="24"/>
        </w:rPr>
        <w:t xml:space="preserve">профессиональная и социальная адаптация молодых специалистов                  в кратчайшие сроки; </w:t>
      </w:r>
      <w:r>
        <w:rPr>
          <w:rFonts w:eastAsiaTheme="majorEastAsia"/>
          <w:sz w:val="28"/>
        </w:rPr>
        <w:t xml:space="preserve">подготовка высокопрофессиональных специа</w:t>
      </w:r>
      <w:r>
        <w:rPr>
          <w:rFonts w:eastAsiaTheme="majorEastAsia"/>
          <w:sz w:val="28"/>
        </w:rPr>
        <w:t xml:space="preserve">листов; привлечение молодых специалистов к научно-технической и инновационной деятельности; ознакомление молодых специалистов с корпоративной культурой и формирование лояльного отношения к предприятию; развитие лидерского потенциала и навыков руководителя.</w:t>
      </w:r>
      <w:r>
        <w:rPr>
          <w:rFonts w:eastAsiaTheme="majorEastAsia"/>
        </w:rPr>
      </w:r>
    </w:p>
    <w:p>
      <w:pPr>
        <w:pStyle w:val="950"/>
        <w:numPr>
          <w:ilvl w:val="0"/>
          <w:numId w:val="0"/>
        </w:numPr>
        <w:ind w:firstLine="709"/>
        <w:spacing w:before="0"/>
        <w:tabs>
          <w:tab w:val="num" w:pos="0" w:leader="none"/>
        </w:tabs>
        <w:rPr>
          <w:spacing w:val="-2"/>
          <w:sz w:val="28"/>
          <w:szCs w:val="24"/>
        </w:rPr>
      </w:pPr>
      <w:r>
        <w:rPr>
          <w:rFonts w:eastAsiaTheme="majorEastAsia"/>
          <w:sz w:val="28"/>
        </w:rPr>
        <w:t xml:space="preserve">Социальная поддержка </w:t>
      </w:r>
      <w:r>
        <w:rPr>
          <w:rFonts w:eastAsiaTheme="majorEastAsia"/>
          <w:sz w:val="28"/>
        </w:rPr>
        <w:t xml:space="preserve">и мотивация молодых специалистов включает                в себя: решение жилищных вопросов иногородних молодых специалистов (например, предоставление общежитий или служебного жилья, компенсация средств по самостоятельному найму жилья, участие в программе «</w:t>
      </w:r>
      <w:r>
        <w:rPr>
          <w:rFonts w:eastAsiaTheme="majorEastAsia"/>
          <w:color w:val="000000"/>
          <w:sz w:val="28"/>
          <w:szCs w:val="24"/>
        </w:rPr>
        <w:t xml:space="preserve">Обеспечения жильем работников предприятия» </w:t>
      </w:r>
      <w:r>
        <w:rPr>
          <w:rFonts w:eastAsiaTheme="majorEastAsia"/>
          <w:sz w:val="28"/>
        </w:rPr>
        <w:t xml:space="preserve">и т.п.); выплаты «подъёмных», оплату провоза багажа, предоставление оплачиваемого отпуска для обустройства (для иногородних молодых специалистов);</w:t>
      </w:r>
      <w:r>
        <w:rPr>
          <w:rFonts w:eastAsiaTheme="majorEastAsia"/>
          <w:sz w:val="28"/>
        </w:rPr>
        <w:t xml:space="preserve"> установление ежемесячных персональных надбавок (для молодых </w:t>
      </w:r>
      <w:r>
        <w:rPr>
          <w:rFonts w:eastAsiaTheme="majorEastAsia"/>
          <w:sz w:val="28"/>
        </w:rPr>
        <w:t xml:space="preserve">специалистов на рабочих должностях и наставников); другие мероприятия                 по согласованию с предприятиями.</w:t>
      </w:r>
      <w:r>
        <w:rPr>
          <w:rFonts w:eastAsiaTheme="majorEastAsia"/>
          <w:spacing w:val="-2"/>
          <w:sz w:val="28"/>
          <w:szCs w:val="24"/>
        </w:rPr>
        <w:t xml:space="preserve"> </w:t>
      </w:r>
      <w:r>
        <w:rPr>
          <w:rFonts w:eastAsiaTheme="majorEastAsia"/>
        </w:rPr>
      </w:r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pacing w:val="-2"/>
          <w:sz w:val="28"/>
          <w:szCs w:val="24"/>
        </w:rPr>
        <w:t xml:space="preserve">В регионе действует </w:t>
      </w:r>
      <w:bookmarkEnd w:id="0"/>
      <w:r>
        <w:rPr>
          <w:rFonts w:eastAsiaTheme="majorEastAsia"/>
        </w:rPr>
      </w:r>
      <w:bookmarkEnd w:id="1"/>
      <w:r>
        <w:rPr>
          <w:rFonts w:eastAsiaTheme="majorEastAsia"/>
        </w:rPr>
      </w:r>
      <w:bookmarkEnd w:id="2"/>
      <w:r>
        <w:rPr>
          <w:rFonts w:eastAsiaTheme="majorEastAsia"/>
        </w:rPr>
      </w:r>
      <w:bookmarkEnd w:id="3"/>
      <w:r>
        <w:rPr>
          <w:rFonts w:eastAsiaTheme="majorEastAsia"/>
        </w:rPr>
      </w:r>
      <w:bookmarkEnd w:id="4"/>
      <w:r>
        <w:rPr>
          <w:rFonts w:eastAsiaTheme="majorEastAsia"/>
        </w:rPr>
      </w:r>
      <w:bookmarkEnd w:id="5"/>
      <w:r>
        <w:rPr>
          <w:rFonts w:eastAsiaTheme="majorEastAsia"/>
        </w:rPr>
      </w:r>
      <w:bookmarkEnd w:id="6"/>
      <w:r>
        <w:rPr>
          <w:rFonts w:ascii="Times New Roman" w:hAnsi="Times New Roman" w:cs="Times New Roman" w:eastAsiaTheme="majorEastAsia"/>
          <w:sz w:val="28"/>
          <w:szCs w:val="28"/>
        </w:rPr>
        <w:t xml:space="preserve">г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осударственная программа "Региональная молодежная политика Волгоградской области" на 2017-2024 годы Мерами               по обеспечению занятости населения области предусмотрена подпрограмма "Сопровождение инвалидов молодого возраста при трудоустройстве". </w:t>
      </w:r>
      <w:r>
        <w:rPr>
          <w:rFonts w:eastAsiaTheme="majorEastAsia"/>
        </w:rPr>
      </w:r>
    </w:p>
    <w:p>
      <w:pPr>
        <w:ind w:firstLine="567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 w:eastAsiaTheme="majorEastAsia"/>
          <w:sz w:val="28"/>
          <w:szCs w:val="28"/>
          <w:lang w:eastAsia="ru-RU"/>
        </w:rPr>
      </w:r>
      <w:r>
        <w:rPr>
          <w:rFonts w:eastAsiaTheme="majorEastAsia"/>
        </w:rPr>
      </w:r>
    </w:p>
    <w:p>
      <w:pPr>
        <w:jc w:val="center"/>
        <w:spacing w:lineRule="auto" w:line="240"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 w:eastAsiaTheme="majorEastAsia"/>
          <w:b/>
          <w:sz w:val="28"/>
        </w:rPr>
        <w:t xml:space="preserve">Муниципальное образование город Краснодар Краснодарского края</w:t>
      </w:r>
      <w:r>
        <w:rPr>
          <w:rFonts w:eastAsiaTheme="majorEastAsia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eastAsiaTheme="majorEastAsia"/>
          <w:sz w:val="28"/>
        </w:rPr>
        <w:t xml:space="preserve">Здесь действует программа по содействию занятости населения                    со сроками реализации 2015-2023 годы, в рамках которой - подпрограмма «Об организации временного трудоустройств</w:t>
      </w:r>
      <w:r>
        <w:rPr>
          <w:rFonts w:ascii="Times New Roman" w:hAnsi="Times New Roman" w:cs="Times New Roman" w:eastAsiaTheme="majorEastAsia"/>
          <w:sz w:val="28"/>
        </w:rPr>
        <w:t xml:space="preserve">а несовершеннолетних                         в муниципальном образовании город Краснодар». Она способствует формированию трудовых навыков у подростков, профилактике правонарушений и безнадзорности. В течение 2020 года трудоустроено                3593 подр</w:t>
      </w:r>
      <w:r>
        <w:rPr>
          <w:rFonts w:ascii="Times New Roman" w:hAnsi="Times New Roman" w:cs="Times New Roman" w:eastAsiaTheme="majorEastAsia"/>
          <w:sz w:val="28"/>
        </w:rPr>
        <w:t xml:space="preserve">остка, из них - 1499 человек из числа находящихся в трудной жизненной ситуации и социально-опасном положении; проведено 3 ярмарки вакансий рабочих мест, в которых активно участвовали 74 работодателя, более 1200 жителей города, прежде всего молодежь, более </w:t>
      </w:r>
      <w:r>
        <w:rPr>
          <w:rFonts w:ascii="Times New Roman" w:hAnsi="Times New Roman" w:cs="Times New Roman" w:eastAsiaTheme="majorEastAsia"/>
          <w:sz w:val="28"/>
        </w:rPr>
        <w:t xml:space="preserve">половины</w:t>
      </w:r>
      <w:r>
        <w:rPr>
          <w:rFonts w:ascii="Times New Roman" w:hAnsi="Times New Roman" w:cs="Times New Roman" w:eastAsiaTheme="majorEastAsia"/>
          <w:sz w:val="28"/>
        </w:rPr>
        <w:t xml:space="preserve"> которых были приглашены на собеседование с целью дальнейшего трудоустройства.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 w:eastAsiaTheme="majorEastAsia"/>
          <w:sz w:val="28"/>
          <w:szCs w:val="28"/>
          <w:lang w:eastAsia="ru-RU"/>
        </w:rPr>
      </w:r>
      <w:r>
        <w:rPr>
          <w:rFonts w:eastAsiaTheme="majorEastAsia"/>
        </w:rPr>
      </w:r>
    </w:p>
    <w:p>
      <w:pPr>
        <w:ind w:right="-851"/>
        <w:jc w:val="center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eastAsiaTheme="majorEastAsia"/>
        </w:rPr>
      </w:r>
      <w:hyperlink r:id="rId15" w:tooltip="https://ru.wikipedia.org/wiki/%D0%A4%D0%B5%D0%B4%D0%B5%D1%80%D0%B0%D0%BB%D1%8C%D0%BD%D1%8B%D0%B5_%D0%BE%D0%BA%D1%80%D1%83%D0%B3%D0%B0_%D0%A0%D0%BE%D1%81%D1%81%D0%B8%D0%B9%D1%81%D0%BA%D0%BE%D0%B9_%D0%A4%D0%B5%D0%B4%D0%B5%D1%80%D0%B0%D1%86%D0%B8%D0%B8#%D0%9F%D1%" w:anchor="%D0%9F%D1%80%D0%B8%D0%B2%D0%BE%D0%BB%D0%B6%D1%81%D0%BA%D0%B8%D0%B9" w:history="1">
        <w:r>
          <w:rPr>
            <w:rStyle w:val="922"/>
            <w:rFonts w:ascii="Times New Roman" w:hAnsi="Times New Roman" w:eastAsiaTheme="majorEastAsia"/>
            <w:color w:val="auto"/>
            <w:sz w:val="28"/>
            <w:szCs w:val="28"/>
            <w:u w:val="none"/>
          </w:rPr>
          <w:t xml:space="preserve">ПРИВОЛЖСКИЙ</w:t>
        </w:r>
      </w:hyperlink>
      <w:r>
        <w:rPr>
          <w:rFonts w:ascii="Times New Roman" w:hAnsi="Times New Roman" w:cs="Times New Roman" w:eastAsiaTheme="majorEastAsia"/>
          <w:sz w:val="28"/>
          <w:szCs w:val="28"/>
          <w:lang w:eastAsia="ru-RU"/>
        </w:rPr>
        <w:t xml:space="preserve"> ФЕДЕРАЛЬНЫЙ ОКРУГ</w:t>
      </w:r>
      <w:r>
        <w:rPr>
          <w:rFonts w:eastAsiaTheme="majorEastAsia"/>
        </w:rPr>
      </w:r>
    </w:p>
    <w:p>
      <w:pPr>
        <w:jc w:val="center"/>
        <w:spacing w:lineRule="auto" w:line="24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eastAsiaTheme="majorEastAsia"/>
          <w:b/>
          <w:sz w:val="28"/>
          <w:szCs w:val="28"/>
        </w:rPr>
        <w:t xml:space="preserve">Республика Башкортостан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Создана система материальной поддержки молодых специалистов.                В частности: 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- пособия в размере 500 тыс. рублей полагают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ся выпускникам аграрных вузов по специальностям «Агрономия», «Электрификация и автоматизация сельского хозяйства», «Зоотехния», «Ветеринария», «Механизация сельского хозяйства», «Автомобили и автомобильное хозяйство», «Бухгалтерский учет, анализ и аудит»;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«Экономика и управление на предприятии (в аграрном производстве)». При этом возраст выпускников ограничивается 35 годами, они должны  устроиться работать на сельскохозяйственное предприятие                 в год окончания учебы и отработать не менее 3 лет;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- </w:t>
      </w:r>
      <w:r>
        <w:rPr>
          <w:rFonts w:ascii="Times New Roman" w:hAnsi="Times New Roman" w:cs="Times New Roman" w:eastAsiaTheme="majorEastAsia"/>
          <w:color w:val="000000"/>
          <w:sz w:val="28"/>
          <w:szCs w:val="28"/>
          <w:lang w:eastAsia="ru-RU"/>
        </w:rPr>
        <w:t xml:space="preserve">молодым учителям, впервые поступившим на работу после окончания ВУЗа, полагается ежемесячное премирование в размере 30% от </w:t>
      </w:r>
      <w:r>
        <w:rPr>
          <w:rFonts w:ascii="Times New Roman" w:hAnsi="Times New Roman" w:cs="Times New Roman" w:eastAsiaTheme="majorEastAsia"/>
          <w:color w:val="000000"/>
          <w:sz w:val="28"/>
          <w:szCs w:val="28"/>
          <w:lang w:eastAsia="ru-RU"/>
        </w:rPr>
        <w:t xml:space="preserve">размера оплаты труда</w:t>
      </w:r>
      <w:r>
        <w:rPr>
          <w:rFonts w:ascii="Times New Roman" w:hAnsi="Times New Roman" w:cs="Times New Roman" w:eastAsiaTheme="majorEastAsia"/>
          <w:color w:val="000000"/>
          <w:sz w:val="28"/>
          <w:szCs w:val="28"/>
          <w:lang w:eastAsia="ru-RU"/>
        </w:rPr>
        <w:t xml:space="preserve"> за фактическую нагрузку в течение трех лет, вплоть                         до получения квалификационной категории;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- молодым специалистам по работе с молодежью, психологам, получившим высшее образование и устроившимся на работу в течение трех месяцев после получения диплома - 20% от должностного оклада </w:t>
      </w:r>
      <w:r>
        <w:rPr>
          <w:rFonts w:ascii="Times New Roman" w:hAnsi="Times New Roman" w:cs="Times New Roman" w:eastAsiaTheme="majorEastAsia"/>
          <w:color w:val="000000"/>
          <w:sz w:val="28"/>
          <w:szCs w:val="28"/>
          <w:lang w:eastAsia="ru-RU"/>
        </w:rPr>
        <w:t xml:space="preserve">в течение трех лет;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- молодым спортивным тренерам, получившим первое высшее                  или среднее профессиональное образование и устроившимся на работу                   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в течение года после получения диплома - до 50% от оклада в течение четырех лет;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- молодым специалистам, получившим первое высшее или среднее профессиональн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ое образование, не нашедшим работу в течение года после получения диплома – устройство на шестимесячную стажировку                             с договорной оплатой труда (при госбюджетной компенсации работодателю в размере до 18,2 тыс. рублей ежемесячно). </w:t>
      </w:r>
      <w:r>
        <w:rPr>
          <w:rFonts w:eastAsiaTheme="majorEastAsia"/>
        </w:rPr>
      </w:r>
    </w:p>
    <w:p>
      <w:pPr>
        <w:spacing w:lineRule="auto" w:line="24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eastAsiaTheme="majorEastAsia"/>
          <w:b/>
          <w:sz w:val="28"/>
          <w:szCs w:val="28"/>
        </w:rPr>
      </w:r>
      <w:r>
        <w:rPr>
          <w:rFonts w:eastAsiaTheme="majorEastAsia"/>
        </w:rPr>
      </w:r>
    </w:p>
    <w:p>
      <w:pPr>
        <w:jc w:val="center"/>
        <w:spacing w:lineRule="auto" w:line="24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eastAsiaTheme="majorEastAsia"/>
          <w:b/>
          <w:sz w:val="28"/>
          <w:szCs w:val="28"/>
        </w:rPr>
        <w:t xml:space="preserve">Нижегородская область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Программы занятости молодежи организовывают Управление по труду и занятости населения области и Департамент по социальной политике. 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Среди многих функций Центра занятости населения: содействие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самозанятости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безработных граждан, включая оказание единовременной финансовой помощи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при их государственной регистрации в качестве юридического лица, индивидуального предпринимателя либо крестьянского (фермерского) хозяйства, а также единовременной финансовой помощи на подготовку документов для соответствующей государственной регистрации;</w:t>
      </w:r>
      <w:r>
        <w:rPr>
          <w:rFonts w:eastAsiaTheme="majorEastAsia"/>
        </w:rPr>
      </w:r>
    </w:p>
    <w:p>
      <w:pPr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выдача предложений для получения работодателями заключений                            о целесообразности привлечения и использования иностранных работников; формирование банка данных о наличии свободны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х учебных мест                         для профессионального обучения; формирование и ведение базы стажировок для содействия трудоустройству учащихся старших курсов и выпускников образовательных организаций среднего и высшего профессионального образования.</w:t>
      </w:r>
      <w:r>
        <w:rPr>
          <w:rFonts w:eastAsiaTheme="majorEastAsia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Действует Муниципальная программа «Молодежь Нижнего Новгорода» на 2019 - 2024 год, направленная, в том числе, на создание условий для эффективной самореализации молодежи. </w:t>
      </w:r>
      <w:r>
        <w:rPr>
          <w:rFonts w:eastAsiaTheme="majorEastAsia"/>
        </w:rPr>
      </w:r>
    </w:p>
    <w:p>
      <w:pPr>
        <w:jc w:val="center"/>
        <w:spacing w:lineRule="auto" w:line="24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eastAsiaTheme="majorEastAsia"/>
          <w:b/>
          <w:sz w:val="28"/>
          <w:szCs w:val="28"/>
        </w:rPr>
      </w:r>
      <w:r>
        <w:rPr>
          <w:rFonts w:eastAsiaTheme="majorEastAsia"/>
        </w:rPr>
      </w:r>
    </w:p>
    <w:p>
      <w:pPr>
        <w:jc w:val="center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b/>
          <w:sz w:val="28"/>
          <w:szCs w:val="28"/>
        </w:rPr>
        <w:t xml:space="preserve">Кировская область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Вопросы занятости с точки зрения ин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тересов молодёжи регулируются Законом «О государственной молодежной политике в Кировской области»,              в соответствии с которым органы государственной власти области: содействуют созданию условий для трудовой деятельности молодых граждан; реализую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т мероприятия по вопросам социальной адаптации                       и повышения конкурентоспособности молодых граждан на рынке труда, занятости и профессиональной ориентации; разрабатывают, утверждают                 и реализуют целевые программы, предусм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атривающие мероприятия, направленные на организацию трудоустройства молодых граждан;  содействуют созданию специализированных молодежных бирж труда, центров по трудоустройству, социальной и психологической адаптации выпускников образовательных учреждений. 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В рамках выполнения данного закона Правительством Кировской области совместно с Управлением государственной службы занятости населения, министерством спорта и молодёжной политики, органами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местного самоуправления разработана и действует государственная программа региона «Содействие занятости населения Кировской области».</w:t>
      </w:r>
      <w:r>
        <w:rPr>
          <w:rFonts w:eastAsiaTheme="majorEastAsia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В данной програ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мме предусмотрено: организация временного трудоустройства несовершеннолетних граждан в возрасте от 14 до 18 лет                в свободное от учебы время; в целях поддержки предпринимательской инициативы молодежи, а также создания дополнительных рабочих ме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ст                   в сф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ере малого бизнеса предоставляется финансовая помощь на открытие собственного дела; в целях расширения возможностей трудоустройства безработной молодежи используются ярмарки вакансий, ярмарки-презентации и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видеопрезентации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с приглашением представителей кадровых служб предприятий. 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Областной службой занятости формируется база вакансий                           для организации стажировок молодежи и выпускников образовательных организаций.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</w:r>
      <w:r>
        <w:rPr>
          <w:rFonts w:eastAsiaTheme="majorEastAsia"/>
        </w:rPr>
      </w:r>
    </w:p>
    <w:p>
      <w:pPr>
        <w:ind w:firstLine="567"/>
        <w:jc w:val="center"/>
        <w:spacing w:lineRule="auto" w:line="24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eastAsiaTheme="majorEastAsia"/>
          <w:b/>
          <w:sz w:val="28"/>
          <w:szCs w:val="28"/>
        </w:rPr>
        <w:t xml:space="preserve">Республика Марий Эл</w:t>
      </w:r>
      <w:r>
        <w:rPr>
          <w:rFonts w:eastAsiaTheme="majorEastAsia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В республике действует Государственная программа содействия занятости населения на 2013 - 2025 годы</w:t>
      </w:r>
      <w:r>
        <w:rPr>
          <w:rFonts w:ascii="Times New Roman" w:hAnsi="Times New Roman" w:cs="Times New Roman" w:eastAsiaTheme="majorEastAsia"/>
          <w:b/>
          <w:sz w:val="28"/>
          <w:szCs w:val="28"/>
        </w:rPr>
        <w:t xml:space="preserve">,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участником которой, в том числе, является Союз «Объединение организаций профсоюзов Республики Марий Эл».</w:t>
      </w:r>
      <w:r>
        <w:rPr>
          <w:rFonts w:eastAsiaTheme="majorEastAsia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В число приоритетных направлений Программы входит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развитие                     и модернизация всех уровней и форм профессионального образования, ориентированного на спрос инновационной экономики и потребности современного рынка труда, эффективное трудоустройство молодых специалистов, включая: оказание усл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уг по профессиональной ориентации               и психологической поддержке, профессиональному обучению                                 и дополнительному профессиональному образованию молодежи; сопровождение инвалидов молодого возраста при трудоустройстве;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повышение удельного веса трудоустроенных граждан в возрасте до 35 лет               в общей численности граждан, обратившихся за содействием в поиске подходящей работы в органы службы занятости; содействие в переобучении и повышении квалификации ж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енщин, находящихся в отпуске по уходу                   за ребенком в возрасте до трех лет, а также женщинам, имеющим детей дошкольного возраста, не состоящим в трудовых отношениях                                   и обратившимся в органы службы занятости.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eastAsiaTheme="majorEastAsia"/>
          <w:sz w:val="28"/>
        </w:rPr>
        <w:t xml:space="preserve">Во «Дворце молодежи Республики Марий Эл» действует </w:t>
      </w:r>
      <w:hyperlink r:id="rId16" w:tooltip="Центр молодежного предпринимательства и трудоустройства молодежи" w:history="1">
        <w:r>
          <w:rPr>
            <w:rStyle w:val="922"/>
            <w:rFonts w:ascii="Times New Roman" w:hAnsi="Times New Roman" w:eastAsiaTheme="majorEastAsia"/>
            <w:color w:val="auto"/>
            <w:sz w:val="28"/>
            <w:u w:val="none"/>
          </w:rPr>
          <w:t xml:space="preserve">Центр молодежного предпринимательства и трудоустройства молодежи</w:t>
        </w:r>
      </w:hyperlink>
      <w:r>
        <w:rPr>
          <w:rFonts w:ascii="Times New Roman" w:hAnsi="Times New Roman" w:cs="Times New Roman" w:eastAsiaTheme="majorEastAsia"/>
          <w:sz w:val="28"/>
        </w:rPr>
        <w:t xml:space="preserve">. Определенную работу по занятости молодежи ведет  Департамент труда                   и занятости населения Республики. Так, в 1 квартале 2021 года государственная услуга по организации профессиональной ориентации граждан в целях выбора сферы деятельно</w:t>
      </w:r>
      <w:r>
        <w:rPr>
          <w:rFonts w:ascii="Times New Roman" w:hAnsi="Times New Roman" w:cs="Times New Roman" w:eastAsiaTheme="majorEastAsia"/>
          <w:sz w:val="28"/>
        </w:rPr>
        <w:t xml:space="preserve">сти (профессии), трудоустройства, прохождения профессионального обучения и получения дополнительного профессионального образования была предоставлена 2 425 гражданам,                 что составило 28,5 % годового программного показателя. Из числа граждан, </w:t>
      </w:r>
      <w:r>
        <w:rPr>
          <w:rFonts w:ascii="Times New Roman" w:hAnsi="Times New Roman" w:cs="Times New Roman" w:eastAsiaTheme="majorEastAsia"/>
          <w:sz w:val="28"/>
        </w:rPr>
        <w:t xml:space="preserve">получивших государственную услугу: 29,3% молодежь в возрасте                       от 14 до 29 лет; 13,8% подростки в возрасте от 14 - 17 лет.</w:t>
      </w:r>
      <w:r>
        <w:rPr>
          <w:rFonts w:eastAsiaTheme="majorEastAsia"/>
        </w:rPr>
      </w:r>
    </w:p>
    <w:p>
      <w:pPr>
        <w:ind w:firstLine="567"/>
        <w:jc w:val="center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 w:eastAsiaTheme="majorEastAsia"/>
          <w:b/>
          <w:sz w:val="28"/>
          <w:szCs w:val="28"/>
        </w:rPr>
        <w:t xml:space="preserve">Пензенск</w:t>
      </w:r>
      <w:r>
        <w:rPr>
          <w:rFonts w:ascii="Times New Roman" w:hAnsi="Times New Roman" w:eastAsiaTheme="majorEastAsia"/>
          <w:b/>
          <w:sz w:val="28"/>
          <w:szCs w:val="28"/>
        </w:rPr>
        <w:t xml:space="preserve">ая</w:t>
      </w:r>
      <w:r>
        <w:rPr>
          <w:rFonts w:ascii="Times New Roman" w:hAnsi="Times New Roman" w:cs="Times New Roman" w:eastAsiaTheme="majorEastAsia"/>
          <w:b/>
          <w:sz w:val="28"/>
          <w:szCs w:val="28"/>
        </w:rPr>
        <w:t xml:space="preserve"> област</w:t>
      </w:r>
      <w:r>
        <w:rPr>
          <w:rFonts w:ascii="Times New Roman" w:hAnsi="Times New Roman" w:eastAsiaTheme="majorEastAsia"/>
          <w:b/>
          <w:sz w:val="28"/>
          <w:szCs w:val="28"/>
        </w:rPr>
        <w:t xml:space="preserve">ь</w:t>
      </w:r>
      <w:r>
        <w:rPr>
          <w:rFonts w:eastAsiaTheme="majorEastAsia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Calibri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Приоритетными направлениями Центра занятости молодежи и органов исполнительной власти Пензенской области являются трудоустройство социально незащищенной категории молодежи на постоянную работу, трудоустр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ойство подростков 14-18 лет на временные работы. А также проведение ярмарок учебных и рабочих мест, профильная работа                            с молодежью, проведение учебно-методических семинаров, оказание консультационных услуг в сфере профориентации,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предпрофессиональной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подготовки молодежи и подростков, </w:t>
      </w:r>
      <w:r>
        <w:rPr>
          <w:rFonts w:ascii="Times New Roman" w:hAnsi="Times New Roman" w:eastAsiaTheme="majorEastAsia"/>
          <w:sz w:val="28"/>
          <w:szCs w:val="28"/>
        </w:rPr>
        <w:t xml:space="preserve">а также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создание специализированных рабочих мест для выпускников учебных заведений, обучение и переобучение молодежи.</w:t>
      </w:r>
      <w:r>
        <w:rPr>
          <w:rFonts w:eastAsiaTheme="majorEastAsia"/>
        </w:rPr>
      </w:r>
    </w:p>
    <w:p>
      <w:pPr>
        <w:pStyle w:val="927"/>
        <w:jc w:val="both"/>
        <w:spacing w:after="0" w:afterAutospacing="0" w:before="0" w:beforeAutospacing="0"/>
        <w:shd w:val="clear" w:fill="FFFFFF" w:color="auto"/>
        <w:rPr>
          <w:i/>
          <w:sz w:val="28"/>
          <w:shd w:val="clear" w:fill="FFFFFF" w:color="auto"/>
        </w:rPr>
      </w:pPr>
      <w:r>
        <w:rPr>
          <w:rFonts w:eastAsiaTheme="majorEastAsia"/>
          <w:b/>
          <w:sz w:val="28"/>
          <w:shd w:val="clear" w:fill="FFFFFF" w:color="auto"/>
        </w:rPr>
        <w:tab/>
      </w:r>
      <w:r>
        <w:rPr>
          <w:rFonts w:eastAsiaTheme="majorEastAsia"/>
          <w:i/>
          <w:sz w:val="28"/>
          <w:shd w:val="clear" w:fill="FFFFFF" w:color="auto"/>
        </w:rPr>
        <w:t xml:space="preserve">Примечание: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 w:eastAsia="Calibri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На 01.04.2021 в Центре занятости по городу Пенза имелось 2115 вакансий и 5796 рабочих мест. </w:t>
      </w:r>
      <w:r>
        <w:rPr>
          <w:rFonts w:ascii="Times New Roman" w:hAnsi="Times New Roman" w:eastAsiaTheme="majorEastAsia"/>
          <w:sz w:val="28"/>
          <w:szCs w:val="28"/>
        </w:rPr>
        <w:t xml:space="preserve">По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требуемо</w:t>
      </w:r>
      <w:r>
        <w:rPr>
          <w:rFonts w:ascii="Times New Roman" w:hAnsi="Times New Roman" w:eastAsiaTheme="majorEastAsia"/>
          <w:sz w:val="28"/>
          <w:szCs w:val="28"/>
        </w:rPr>
        <w:t xml:space="preserve">му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опыт</w:t>
      </w:r>
      <w:r>
        <w:rPr>
          <w:rFonts w:ascii="Times New Roman" w:hAnsi="Times New Roman" w:eastAsiaTheme="majorEastAsia"/>
          <w:sz w:val="28"/>
          <w:szCs w:val="28"/>
        </w:rPr>
        <w:t xml:space="preserve">у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работы предлагалось:</w:t>
      </w:r>
      <w:r>
        <w:rPr>
          <w:rFonts w:ascii="Times New Roman" w:hAnsi="Times New Roman" w:eastAsiaTheme="maj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1-3 </w:t>
      </w:r>
      <w:r>
        <w:rPr>
          <w:rFonts w:ascii="Times New Roman" w:hAnsi="Times New Roman" w:eastAsiaTheme="majorEastAsia"/>
          <w:sz w:val="28"/>
          <w:szCs w:val="28"/>
        </w:rPr>
        <w:t xml:space="preserve">года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– 375 вакансий;</w:t>
      </w:r>
      <w:r>
        <w:rPr>
          <w:rFonts w:ascii="Times New Roman" w:hAnsi="Times New Roman" w:eastAsiaTheme="maj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начало карьеры – 1679 вакансий.</w:t>
      </w:r>
      <w:r>
        <w:rPr>
          <w:rFonts w:eastAsiaTheme="majorEastAsia"/>
        </w:rPr>
      </w:r>
    </w:p>
    <w:p>
      <w:pPr>
        <w:ind w:firstLine="567"/>
        <w:jc w:val="both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Высшее образование требуется в 475 вакансиях. Среднее профессиональное образование требуется в 991 вакансиях.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</w:r>
      <w:r>
        <w:rPr>
          <w:rFonts w:eastAsiaTheme="majorEastAsia"/>
        </w:rPr>
      </w:r>
    </w:p>
    <w:p>
      <w:pPr>
        <w:pStyle w:val="934"/>
        <w:ind w:firstLine="709"/>
        <w:jc w:val="center"/>
        <w:spacing w:lineRule="auto" w:line="240"/>
        <w:rPr>
          <w:sz w:val="28"/>
          <w:szCs w:val="28"/>
        </w:rPr>
      </w:pPr>
      <w:r>
        <w:rPr>
          <w:rFonts w:eastAsiaTheme="majorEastAsia"/>
          <w:b/>
        </w:rPr>
        <w:t xml:space="preserve">Самарская область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С 2016 года реализуется Закон Самарской области «О молодом специалисте в Самарской области», в соответствии с которым молодые специалисты в течение 3 лет получают «подъемные» единовременные выплаты. Размер этой выплаты индивидуален для каждого моло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дого специалиста – он определяется исходя из его средней заработной платы                  и величины регионального прожиточного минимума. Максимальный размер государственной поддержки на одного молодого специалиста в 2021 году составляет 146 тыс. рублей. 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Кроме ежегодной денежной выплаты за каждый отработанный год предусмотрены частичные компенсации затрат на: научно-исследовательскую и инновационную деятельность; временный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найм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жилого помещения; получение высшего или дополнительного профессионального образования. </w:t>
      </w:r>
      <w:r>
        <w:rPr>
          <w:rFonts w:eastAsiaTheme="majorEastAsia"/>
        </w:rPr>
      </w:r>
    </w:p>
    <w:p>
      <w:pPr>
        <w:pStyle w:val="92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Ежегодный норматив - трудоустройство на постоянную работу                        не менее 84 выпускников образовательных организаций для обеспечения притока на предприятия молодых специалистов с требуемыми компетенциями и занятость выпускников п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рофессиональных образовательных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организаций. Работода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телю, трудоустроившему выпускников образовательных организаций на постоянную работу, в течение 6 месяцев компенсируются затраты по оплате труда выпускников в размере регионального МРОТ, увеличенного на страховые взносы в государственные внебюджетные фонды.</w:t>
      </w:r>
      <w:r>
        <w:rPr>
          <w:rFonts w:eastAsiaTheme="majorEastAsia"/>
        </w:rPr>
      </w:r>
    </w:p>
    <w:p>
      <w:pPr>
        <w:pStyle w:val="92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Правительством области утвержден Перечень специальностей высшего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образования и направлений дополнительного профессионального образования для предоставления молодым специалистам частичной компенсации затрат на получение высшего и дополнительного профессионального образования. </w:t>
      </w:r>
      <w:r>
        <w:rPr>
          <w:rFonts w:eastAsiaTheme="majorEastAsia"/>
        </w:rPr>
      </w:r>
    </w:p>
    <w:p>
      <w:pPr>
        <w:pStyle w:val="934"/>
        <w:ind w:firstLine="709"/>
        <w:spacing w:lineRule="auto" w:line="240"/>
        <w:rPr>
          <w:sz w:val="28"/>
          <w:szCs w:val="28"/>
        </w:rPr>
      </w:pPr>
      <w:r>
        <w:rPr>
          <w:rFonts w:eastAsiaTheme="majorEastAsia"/>
        </w:rPr>
        <w:t xml:space="preserve">На крупных предприятиях г</w:t>
      </w:r>
      <w:r>
        <w:rPr>
          <w:rFonts w:eastAsiaTheme="majorEastAsia"/>
        </w:rPr>
        <w:t xml:space="preserve">.Т</w:t>
      </w:r>
      <w:r>
        <w:rPr>
          <w:rFonts w:eastAsiaTheme="majorEastAsia"/>
        </w:rPr>
        <w:t xml:space="preserve">ольятти реализуется целевая подготовка студентов высших и средних образовательных учреждений, стажировки                   с последующим предоставлением рабочего места по</w:t>
      </w:r>
      <w:r>
        <w:rPr>
          <w:rFonts w:eastAsiaTheme="majorEastAsia"/>
        </w:rPr>
        <w:t xml:space="preserve"> результатам входных испытаний. Работают программы адаптации молодых сотрудников                        на предприятиях и в организациях. Они помогают вовлекать молодых сотрудников в рабочий процесс, успешно проходить стажировку, снижают текучесть кадров. </w:t>
      </w:r>
      <w:r>
        <w:rPr>
          <w:rFonts w:eastAsiaTheme="majorEastAsia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В части содействия открытию собственного дела в этом году увеличена сумма единовременной выплаты до 100 тыс. рублей будущим предпринимателям по линии службы занятости населения Самарской области. По итогам этой работы в 2020 году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378 человек смогли оформиться в качестве предпринимателей, по состоянию на 9 июня 2021 года открыли собственное дело с помощью службы занятости еще 63 человека. Кроме разовой финансовой помощи центры занятости возмещают и расходы                      на о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рганизацию предпринимательской деятельности в виде госпошлины, печати, бланков и других документов. Сферы деятельности при этом -                     от сферы услуг до малого производства. Одна из наиболее востребованных сфер – дополнительное образование. </w:t>
      </w:r>
      <w:r>
        <w:rPr>
          <w:rFonts w:eastAsiaTheme="majorEastAsia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В целях расширения возможностей трудоустройства безработных                     и ищущих работу граждан в 2021 году в области применяется формат социального контракта при по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иске работы. Данный формат ведется министерством социально-демографической и семейной политики Самарской области при активном содействии службы занятости. Безработным - «контрактникам» предоставляются выплаты в размере регионального прожиточного минимума. </w:t>
      </w:r>
      <w:r>
        <w:rPr>
          <w:rFonts w:eastAsiaTheme="majorEastAsia"/>
        </w:rPr>
      </w:r>
    </w:p>
    <w:p>
      <w:pPr>
        <w:pStyle w:val="934"/>
        <w:ind w:firstLine="709"/>
        <w:spacing w:lineRule="auto" w:line="240"/>
      </w:pPr>
      <w:r>
        <w:rPr>
          <w:rFonts w:eastAsiaTheme="majorEastAsia"/>
        </w:rPr>
        <w:t xml:space="preserve">В рамках программы «Путевка в профессию. Поддержка безработной молодежи» в Самаре проходит профессиональное обучение молодых людей от 18 до 30 лет по профессии «Пекарь» и «Слесарь по ремонту автомобилей». </w:t>
      </w:r>
      <w:r>
        <w:rPr>
          <w:rFonts w:eastAsiaTheme="majorEastAsia"/>
        </w:rPr>
      </w:r>
    </w:p>
    <w:p>
      <w:pPr>
        <w:pStyle w:val="934"/>
        <w:ind w:firstLine="709"/>
        <w:spacing w:lineRule="auto" w:line="240"/>
      </w:pPr>
      <w:r>
        <w:rPr>
          <w:rFonts w:eastAsiaTheme="majorEastAsia"/>
        </w:rPr>
        <w:t xml:space="preserve">В городах области проводятся дни </w:t>
      </w:r>
      <w:r>
        <w:rPr>
          <w:rFonts w:eastAsiaTheme="majorEastAsia"/>
        </w:rPr>
        <w:t xml:space="preserve">предприятий, ярмарки вакансий,                 на которых набирается персонал. Самарские предприятия и организации заключают с Центром занятости населения городского округа Самара  договора по стажировке выпускников образовательных учреждений,  содействию </w:t>
      </w:r>
      <w:r>
        <w:rPr>
          <w:rFonts w:eastAsiaTheme="majorEastAsia"/>
        </w:rPr>
        <w:t xml:space="preserve">самозанятости</w:t>
      </w:r>
      <w:r>
        <w:rPr>
          <w:rFonts w:eastAsiaTheme="majorEastAsia"/>
        </w:rPr>
        <w:t xml:space="preserve"> безработных граждан, организации общественных и временных работ. </w:t>
      </w:r>
      <w:r>
        <w:rPr>
          <w:rFonts w:eastAsiaTheme="majorEastAsia"/>
        </w:rPr>
      </w:r>
    </w:p>
    <w:p>
      <w:pPr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</w:rPr>
      </w:pPr>
      <w:r>
        <w:rPr>
          <w:rFonts w:ascii="Times New Roman" w:hAnsi="Times New Roman" w:cs="Times New Roman" w:eastAsia="Times New Roman" w:eastAsiaTheme="majorEastAsia"/>
          <w:bCs/>
          <w:sz w:val="28"/>
          <w:szCs w:val="28"/>
        </w:rPr>
      </w:r>
      <w:r>
        <w:rPr>
          <w:rFonts w:eastAsiaTheme="majorEastAsia"/>
        </w:rPr>
      </w:r>
    </w:p>
    <w:p>
      <w:pPr>
        <w:ind w:firstLine="567"/>
        <w:jc w:val="center"/>
        <w:spacing w:lineRule="auto" w:line="24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eastAsiaTheme="majorEastAsia"/>
          <w:b/>
          <w:sz w:val="28"/>
          <w:szCs w:val="28"/>
        </w:rPr>
        <w:t xml:space="preserve">Республика Татарстан</w:t>
      </w:r>
      <w:r>
        <w:rPr>
          <w:rFonts w:eastAsiaTheme="majorEastAsia"/>
        </w:rPr>
      </w:r>
    </w:p>
    <w:p>
      <w:pPr>
        <w:ind w:right="-1"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В своей деятельности центры занятости населения многих городов Республики особое внимание уделяют трудоустройству молодежи, прежде всего впервые ищущей работу. В этих целях реализуются следующие мероприятия:</w:t>
      </w:r>
      <w:r>
        <w:rPr>
          <w:rFonts w:eastAsiaTheme="majorEastAsia"/>
        </w:rPr>
      </w:r>
    </w:p>
    <w:p>
      <w:pPr>
        <w:ind w:right="-1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- «Первое рабочее место» - организация временного трудоустройства безработных граждан в возрасте от 18 до 20 лет, имеющих среднее профессиональное образование, ищущих работу впервые;</w:t>
      </w:r>
      <w:r>
        <w:rPr>
          <w:rFonts w:eastAsiaTheme="majorEastAsia"/>
        </w:rPr>
      </w:r>
    </w:p>
    <w:p>
      <w:pPr>
        <w:ind w:right="-1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- «Молодежная практика» - организация временного трудоустройства безработных граждан из числа выпускников общеобразовательных организаций и образовательных организаций высшего образования.</w:t>
      </w:r>
      <w:r>
        <w:rPr>
          <w:rFonts w:eastAsiaTheme="majorEastAsia"/>
        </w:rPr>
      </w:r>
    </w:p>
    <w:p>
      <w:pPr>
        <w:ind w:right="-1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- Реализация этих мероприятий осуществляется в соответствии с договорами об организации временного трудоустройства безр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аботных граждан, заключаемыми с работодателями. Устройство на работу выпускников организуется по полученным, либо смежным или родственным специальностям (профессиям). Обязательное условие участия во временных работах – регистрация в качестве безработного. </w:t>
      </w:r>
      <w:r>
        <w:rPr>
          <w:rFonts w:eastAsiaTheme="majorEastAsia"/>
        </w:rPr>
      </w:r>
    </w:p>
    <w:p>
      <w:pPr>
        <w:ind w:right="-1"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Участие во временных работах позволяет безработным гражданам:  начать тр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удовую деятельность; получить практический опыт работы                      по специальности (профессии); пройти социальную адаптацию на рабочем месте; проявить себя с лучшей профессиональной стороны и закрепиться              на постоянном рабочем месте. </w:t>
      </w:r>
      <w:r>
        <w:rPr>
          <w:rFonts w:eastAsiaTheme="majorEastAsia"/>
        </w:rPr>
      </w:r>
    </w:p>
    <w:p>
      <w:pPr>
        <w:ind w:right="-1"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Дополнительно к заработной плате, оплачиваемой работодателем, выпускникам, трудоустроенным на временную работу по направлению Центра занятости, оказывается материальная поддержка.</w:t>
      </w:r>
      <w:r>
        <w:rPr>
          <w:rFonts w:eastAsiaTheme="majorEastAsia"/>
        </w:rPr>
      </w:r>
    </w:p>
    <w:p>
      <w:pPr>
        <w:ind w:right="-1"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В 2020 году при поддержке Министерства молодежи Республики Татарстан был запущен проект, который направлен на помощь молодым людям в поиске работы и построении успешной карьеры.</w:t>
      </w:r>
      <w:r>
        <w:rPr>
          <w:rFonts w:eastAsiaTheme="majorEastAsia"/>
        </w:rPr>
      </w:r>
    </w:p>
    <w:p>
      <w:pPr>
        <w:ind w:right="-1"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Ключевая цель проекта – создание доверительных отношений между молодыми специалистами и работодателями. Это должно исключить риски недобросовестного исполнения работ, а также защитить молодых специалистов от обмана работодателями.</w:t>
      </w:r>
      <w:r>
        <w:rPr>
          <w:rFonts w:eastAsiaTheme="majorEastAsia"/>
        </w:rPr>
      </w:r>
    </w:p>
    <w:p>
      <w:pPr>
        <w:ind w:right="-1" w:firstLine="709"/>
        <w:jc w:val="both"/>
        <w:spacing w:lineRule="auto" w:line="24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 w:eastAsiaTheme="majorEastAsia"/>
          <w:i/>
          <w:sz w:val="28"/>
          <w:szCs w:val="28"/>
        </w:rPr>
        <w:t xml:space="preserve">Примечание:</w:t>
      </w:r>
      <w:r>
        <w:rPr>
          <w:rFonts w:eastAsiaTheme="majorEastAsia"/>
        </w:rPr>
      </w:r>
    </w:p>
    <w:p>
      <w:pPr>
        <w:pStyle w:val="920"/>
        <w:ind w:left="0" w:right="-1"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По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данным обследований, проведенных Территориальным органом Федеральной службы государственной статистики по Республике Татарстан в среднем за март - май 2021 года численность рабочей силы Республики Татарстан в возрасте 15 лет и старше составила 2 026,2 тыс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.ч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еловек, из них              1 971,1 тыс.человек были заняты в экономике и 55,1 тыс.человек не имели занятия, но активно его искали (в соответствии с методологией МОТ они классифицируются как безработные). Уровень занятости населения составляет 62,1%.</w:t>
      </w:r>
      <w:r>
        <w:rPr>
          <w:rFonts w:eastAsiaTheme="majorEastAsia"/>
        </w:rPr>
      </w:r>
    </w:p>
    <w:p>
      <w:pPr>
        <w:pStyle w:val="920"/>
        <w:ind w:left="0" w:right="-1"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По итогам реализации Государственной программы "Содействие занятости населения Республики Татарстан на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2014 - 2025 годы" ожидается достижение к концу 2025 года доли выпускников профессиональных образовательных организаций, трудоустроившихся в первый год после окончания обучения, в общей численности выпускников указанных организаций - не менее 82 процентов.</w:t>
      </w:r>
      <w:r>
        <w:rPr>
          <w:rFonts w:eastAsiaTheme="majorEastAsia"/>
        </w:rPr>
      </w:r>
    </w:p>
    <w:p>
      <w:pPr>
        <w:pStyle w:val="920"/>
        <w:ind w:left="0" w:right="-1" w:firstLine="708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 w:eastAsiaTheme="majorEastAsia"/>
          <w:sz w:val="28"/>
          <w:szCs w:val="28"/>
          <w:lang w:eastAsia="ru-RU"/>
        </w:rPr>
      </w:r>
      <w:r>
        <w:rPr>
          <w:rFonts w:eastAsiaTheme="majorEastAsia"/>
        </w:rPr>
      </w:r>
    </w:p>
    <w:p>
      <w:pPr>
        <w:ind w:right="-851" w:firstLine="993"/>
        <w:jc w:val="center"/>
        <w:spacing w:after="24" w:before="100" w:beforeAutospacing="1"/>
      </w:pPr>
      <w:r>
        <w:rPr>
          <w:rFonts w:eastAsiaTheme="majorEastAsia"/>
        </w:rPr>
      </w:r>
      <w:r>
        <w:rPr>
          <w:rFonts w:eastAsiaTheme="majorEastAsia"/>
        </w:rPr>
      </w:r>
    </w:p>
    <w:p>
      <w:pPr>
        <w:ind w:right="-851"/>
        <w:jc w:val="center"/>
        <w:spacing w:after="0" w:before="100" w:beforeAutospacing="1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eastAsiaTheme="majorEastAsia"/>
        </w:rPr>
      </w:r>
      <w:hyperlink r:id="rId17" w:tooltip="https://ru.wikipedia.org/wiki/%D0%A4%D0%B5%D0%B4%D0%B5%D1%80%D0%B0%D0%BB%D1%8C%D0%BD%D1%8B%D0%B5_%D0%BE%D0%BA%D1%80%D1%83%D0%B3%D0%B0_%D0%A0%D0%BE%D1%81%D1%81%D0%B8%D0%B9%D1%81%D0%BA%D0%BE%D0%B9_%D0%A4%D0%B5%D0%B4%D0%B5%D1%80%D0%B0%D1%86%D0%B8%D0%B8#%D0%A3%D1%" w:anchor="%D0%A3%D1%80%D0%B0%D0%BB%D1%8C%D1%81%D0%BA%D0%B8%D0%B9" w:history="1">
        <w:r>
          <w:rPr>
            <w:rStyle w:val="922"/>
            <w:rFonts w:ascii="Times New Roman" w:hAnsi="Times New Roman" w:eastAsiaTheme="majorEastAsia"/>
            <w:color w:val="auto"/>
            <w:sz w:val="28"/>
            <w:szCs w:val="28"/>
            <w:u w:val="none"/>
          </w:rPr>
          <w:t xml:space="preserve">УРАЛЬСКИЙ</w:t>
        </w:r>
      </w:hyperlink>
      <w:r>
        <w:rPr>
          <w:rFonts w:ascii="Times New Roman" w:hAnsi="Times New Roman" w:cs="Times New Roman" w:eastAsiaTheme="majorEastAsia"/>
          <w:sz w:val="28"/>
          <w:szCs w:val="28"/>
          <w:lang w:eastAsia="ru-RU"/>
        </w:rPr>
        <w:t xml:space="preserve"> ФЕДЕРАЛЬНЫЙ ОКРУГ</w:t>
      </w:r>
      <w:r>
        <w:rPr>
          <w:rFonts w:eastAsiaTheme="majorEastAsia"/>
        </w:rPr>
      </w:r>
    </w:p>
    <w:p>
      <w:pPr>
        <w:jc w:val="center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 w:eastAsia="Times New Roman" w:eastAsiaTheme="majorEastAsia"/>
          <w:sz w:val="28"/>
          <w:szCs w:val="28"/>
          <w:u w:val="single"/>
          <w:lang w:eastAsia="ru-RU"/>
        </w:rPr>
      </w:r>
      <w:r>
        <w:rPr>
          <w:rFonts w:eastAsiaTheme="majorEastAsia"/>
        </w:rPr>
      </w:r>
    </w:p>
    <w:p>
      <w:pPr>
        <w:jc w:val="center"/>
        <w:spacing w:lineRule="auto" w:line="24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eastAsiaTheme="majorEastAsia"/>
          <w:b/>
          <w:sz w:val="28"/>
          <w:szCs w:val="28"/>
        </w:rPr>
        <w:t xml:space="preserve">Нижнетавдинский</w:t>
      </w:r>
      <w:r>
        <w:rPr>
          <w:rFonts w:ascii="Times New Roman" w:hAnsi="Times New Roman" w:cs="Times New Roman" w:eastAsiaTheme="majorEastAsia"/>
          <w:b/>
          <w:sz w:val="28"/>
          <w:szCs w:val="28"/>
        </w:rPr>
        <w:t xml:space="preserve"> муниципальный район Тюменской области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В образовательных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учреждениях для учащихся проводится консультационная работа по вопросам трудоустройства, профориентации                и информирования о состоянии рынка труда, а также тематические классные часы с приглашением успешных выпускников и социальных партнеров.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Организован мониторин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г вакансий рабочих мест, реестр предприятий, рекомендуемых для проведения производственной практики с возможностью дальнейшего трудоустройства выпускников, заключаются договора                        о прохождении практики с потенциальными работодателями. 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Направление выпускников образовательных учреждений на работу     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       на предприятия, работающие по современным технологиям, со стабильным экономическим положением, позволяет увеличить количество выпускников, закрепившихся на предприятии, и облегчает работу по контролю закрепления выпускников на данных предприятиях. 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При выдаче направления выпускникам на трудоустройство, муниципальной администрацией выдается анкета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для работодателей. Анкетирование проводится с целью выявления у работодателей уровня удовлетворенности качеством практических навыков и умений выпускников, что позволяет определить готовность принятия выпускников на работу               или причину отказа.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По усредненным анкетным данным, 81% работодателей устраивает уровень подготовки выпускников, 19% - устраивает частично.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Представляют интерес анкетные данные по предоставлению помощи            и льгот для молодых специалистов: </w:t>
      </w:r>
      <w:r>
        <w:rPr>
          <w:rFonts w:eastAsiaTheme="majorEastAsia"/>
        </w:rPr>
      </w:r>
    </w:p>
    <w:p>
      <w:pPr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76% - закрепление наставника за молодым специалистом;</w:t>
      </w:r>
      <w:r>
        <w:rPr>
          <w:rFonts w:eastAsiaTheme="majorEastAsia"/>
        </w:rPr>
      </w:r>
    </w:p>
    <w:p>
      <w:pPr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12% - уменьшенные нормы выработки;</w:t>
      </w:r>
      <w:r>
        <w:rPr>
          <w:rFonts w:eastAsiaTheme="majorEastAsia"/>
        </w:rPr>
      </w:r>
    </w:p>
    <w:p>
      <w:pPr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75%</w:t>
      </w:r>
      <w:r>
        <w:rPr>
          <w:rFonts w:ascii="Times New Roman" w:hAnsi="Times New Roman" w:cs="Times New Roman" w:eastAsiaTheme="majorEastAsia"/>
          <w:sz w:val="28"/>
          <w:szCs w:val="28"/>
        </w:rPr>
        <w:tab/>
        <w:t xml:space="preserve">- предлагают работать на современном оборудовании и использовать новые технологии.</w:t>
      </w:r>
      <w:r>
        <w:rPr>
          <w:rFonts w:eastAsiaTheme="majorEastAsia"/>
        </w:rPr>
      </w:r>
    </w:p>
    <w:p>
      <w:pPr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ab/>
        <w:t xml:space="preserve">Данные о мерах закрепления молодых кадров: работать по профессии - 95%, условия труда отвечают всем требованиям - 75%; своевременное повышение квалификации (разряда) - 20%; надлежащий уровень оплаты труда - 57%; наличие социального пакета - 53%.</w:t>
      </w:r>
      <w:r>
        <w:rPr>
          <w:rFonts w:eastAsiaTheme="majorEastAsia"/>
        </w:rPr>
      </w:r>
    </w:p>
    <w:p>
      <w:pPr>
        <w:jc w:val="both"/>
        <w:spacing w:lineRule="auto" w:line="240" w:after="0"/>
        <w:rPr>
          <w:rStyle w:val="924"/>
          <w:rFonts w:ascii="Times New Roman" w:hAnsi="Times New Roman"/>
          <w:b w:val="false"/>
          <w:bCs w:val="false"/>
          <w:sz w:val="28"/>
          <w:szCs w:val="24"/>
        </w:rPr>
      </w:pPr>
      <w:r>
        <w:rPr>
          <w:rFonts w:ascii="Times New Roman" w:hAnsi="Times New Roman" w:eastAsiaTheme="majorEastAsia"/>
          <w:b w:val="false"/>
          <w:bCs w:val="false"/>
          <w:sz w:val="28"/>
          <w:szCs w:val="24"/>
        </w:rPr>
      </w:r>
      <w:r>
        <w:rPr>
          <w:rFonts w:eastAsiaTheme="majorEastAsia"/>
        </w:rPr>
      </w:r>
    </w:p>
    <w:p>
      <w:pPr>
        <w:ind w:firstLine="567"/>
        <w:jc w:val="center"/>
        <w:spacing w:lineRule="auto" w:line="24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eastAsiaTheme="majorEastAsia"/>
          <w:b/>
          <w:sz w:val="28"/>
          <w:szCs w:val="28"/>
        </w:rPr>
        <w:t xml:space="preserve">Курганская область</w:t>
      </w:r>
      <w:r>
        <w:rPr>
          <w:rFonts w:eastAsiaTheme="majorEastAsia"/>
        </w:rPr>
      </w:r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Основными мероприятиями Программы «Содействие занятости населения Курганской области», направленными на поддержку занятости молодежи, в этом году стали: </w:t>
      </w:r>
      <w:r>
        <w:rPr>
          <w:rFonts w:eastAsiaTheme="majorEastAsia"/>
        </w:rPr>
      </w:r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1. Возмещение работодателям части затрат, связанных с проведением стажировки выпускников профессиональных образовательных организаций     и образовательных организаций высшего образования.</w:t>
      </w:r>
      <w:r>
        <w:rPr>
          <w:rFonts w:eastAsiaTheme="majorEastAsia"/>
        </w:rPr>
      </w:r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2. Профессиональное обучение граждан для приобретения или развития имеющихся знаний, компетенций и навыков, обеспечивающих конкурентоспособность и профессиональную мобильность на рынке труда.</w:t>
      </w:r>
      <w:r>
        <w:rPr>
          <w:rFonts w:eastAsiaTheme="majorEastAsia"/>
        </w:rPr>
      </w:r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3. Переобучение, повышение квалификации работников предприятий               в целях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поддержки занятости повышения эффективности рынка труда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.</w:t>
      </w:r>
      <w:r>
        <w:rPr>
          <w:rFonts w:eastAsiaTheme="majorEastAsia"/>
        </w:rPr>
      </w:r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4. Предоставление субсидий на возмещение работодателям затрат                  на переобучение, повышение квалификации женщин, находящихся в отпуске по уходу за ребенком в возрасте до трех лет.</w:t>
      </w:r>
      <w:r>
        <w:rPr>
          <w:rFonts w:eastAsiaTheme="majorEastAsia"/>
        </w:rPr>
      </w:r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5. Осуществление выплат стипендии в период прохождения профессионального обучения и получения дополнительного профессионального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обучения по направлению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органов службы занятости (включая расходы на оплату почтовых услуг и банковских услуг).</w:t>
      </w:r>
      <w:r>
        <w:rPr>
          <w:rFonts w:eastAsiaTheme="majorEastAsia"/>
        </w:rPr>
      </w:r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В регионе:</w:t>
      </w:r>
      <w:r>
        <w:rPr>
          <w:rFonts w:eastAsiaTheme="majorEastAsia"/>
        </w:rPr>
      </w:r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- осуществляется целевой прием в 6 медицинских вузов страны                          с доплатой к стипендии 1500 рублей;</w:t>
      </w:r>
      <w:r>
        <w:rPr>
          <w:rFonts w:eastAsiaTheme="majorEastAsia"/>
        </w:rPr>
      </w:r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- размер выплаты для молодых врачей, которые приедут работать         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          в села или поселки Курганской области, расположенные на удаленных                    и труднодоступных территориях, увеличен до 1,5 млн. рублей,                              для фельдшеров при тех же условиях выплата составит – 750 тыс. рублей; </w:t>
      </w:r>
      <w:r>
        <w:rPr>
          <w:rFonts w:eastAsiaTheme="majorEastAsia"/>
        </w:rPr>
      </w:r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-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для врачей и фельдшеров, которые приедут работать после учебных заведений в лечебные учреждения в сельские населенные пункты или города с населением менее 50 тысяч человек, выплата составляет 1 млн. рублей                  и 500 тыс. рублей соответственно;</w:t>
      </w:r>
      <w:r>
        <w:rPr>
          <w:rFonts w:eastAsiaTheme="majorEastAsia"/>
        </w:rPr>
      </w:r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- действуют региональные подъемные пособия для молодых врачей                 в размере 100 тыс. рублей для тех, кто приступит к работе в больницах Кургана и Шадринска, и 150 тыс. рублей – в остальных населенных пунктах.</w:t>
      </w:r>
      <w:r>
        <w:rPr>
          <w:rFonts w:eastAsiaTheme="majorEastAsia"/>
        </w:rPr>
      </w:r>
    </w:p>
    <w:p>
      <w:pPr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На погашение ипотеки молодые врачи могут получить субсидию в размере 500 тыс. рублей, причем, если оба супруга в семье врачи, общая сумма субсидии составит 1 млн. рублей;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- медицинским работникам предоставляется служебное жилье. Ежемесячно выделяется 10 тыс. рублей на оплату съёмного жилья (в Кургане и Шадринске) или 7 тыс. рублей (в остальных районах);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- по программе «Земский учитель» молодым педагогам предусматривается денежная выплата в размере 1 млн. рублей;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- вне зависимости от профессии в рамках проекта «</w:t>
      </w:r>
      <w:r>
        <w:rPr>
          <w:rFonts w:ascii="Times New Roman" w:hAnsi="Times New Roman" w:cs="Times New Roman" w:eastAsiaTheme="majorEastAsia"/>
          <w:bCs/>
          <w:sz w:val="28"/>
          <w:szCs w:val="28"/>
        </w:rPr>
        <w:t xml:space="preserve">Русская мечта (Курганская область зовёт)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» можно получить компенсацию за первый взнос по ипотеке или субсидию на строительство дома до 500 тыс. рублей, земельный участок на льготных условиях для строительства своего жилья или своего дела.</w:t>
      </w:r>
      <w:r>
        <w:rPr>
          <w:rFonts w:eastAsiaTheme="majorEastAsia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Имеются региональные льготы молодым семьям.</w:t>
      </w:r>
      <w:r>
        <w:rPr>
          <w:rFonts w:eastAsiaTheme="majorEastAsia"/>
        </w:rPr>
      </w:r>
    </w:p>
    <w:p>
      <w:pPr>
        <w:jc w:val="both"/>
        <w:spacing w:lineRule="auto" w:line="240" w:after="0"/>
        <w:rPr>
          <w:rStyle w:val="924"/>
          <w:rFonts w:ascii="Times New Roman" w:hAnsi="Times New Roman"/>
          <w:b w:val="false"/>
          <w:bCs w:val="false"/>
          <w:sz w:val="28"/>
          <w:szCs w:val="24"/>
        </w:rPr>
      </w:pPr>
      <w:r>
        <w:rPr>
          <w:rFonts w:ascii="Times New Roman" w:hAnsi="Times New Roman" w:eastAsiaTheme="majorEastAsia"/>
          <w:b w:val="false"/>
          <w:bCs w:val="false"/>
          <w:sz w:val="28"/>
          <w:szCs w:val="24"/>
        </w:rPr>
      </w:r>
      <w:r>
        <w:rPr>
          <w:rFonts w:eastAsiaTheme="majorEastAsia"/>
        </w:rPr>
      </w:r>
    </w:p>
    <w:p>
      <w:pPr>
        <w:jc w:val="center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b/>
          <w:sz w:val="28"/>
          <w:szCs w:val="28"/>
        </w:rPr>
        <w:t xml:space="preserve">Свердловская область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Департаментом по труду и занятости населения Свердловской области организовано целевое профессиональное и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профориентационное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обучение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граждан, прежде всего молодых.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Создан механизм получения целевого направления и последующего трудоустройства. При этом у граждан, которые обратились в органы службы занятости, имеется возможность выбора – предлагается перечень профессий для обучения, перечень программ профессионального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обучения по профессиям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и дополнительных профессиональных программ для организации обучения инвалидов                         в организациях профессионального образования.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Блок для образовательных организаций содержит сведения общего характера о мероприятиях службы занятости по профессиональному обучению и дополнительному профессиональному образованию.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Карточки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профессий (специальностей), востребованных                                на региональном рынке труда и требующих получения профессионального образования – по каждому (из более десятка  направлений) - от трех до шести карточек по различным специальностям.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В карточке содержится информация: о профессиональном стандарте, описание профессии, требования, предъявляемые к профессиональному образованию и обучению, должности, по которым можно будет работать, родственн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ые профессии, возможности трудоустройства и перспективы развития профессии;                           о профессиональном обучении и дополнительном профессиональном образовании женщин в период отпуска по уходу за ребенком до достижения им возраста трех лет.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В блоке размещён порядок и условия направления женщин данной категории на прохождение профессионального обучения               и форма заявления о направление на профессиональное обучение.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Из опыта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профориентационной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работы с учащейся молодежью (проектный подход) – блок содержит информацию по реально состоявшимся событиям. Например,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профориентационное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мероприятие с элементами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форсайт-игры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«Специалисты на рынке труда: взгляд в будущее»,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профориентационный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проект «Малое предпринимательство и новые возможности для каждого», 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профориентационный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 вестник «Мой выбор - моя профессия».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На сайте Департамента создана вкладка «Профориентация молодежи». Здесь молодой человек может найти: карточки профессий, востребованных на региональном рынке труда; профессии (квалификации) на региональном рынке труда;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методические материалы школьнику для профессионального выбора; рекомендации студенту и выпускнику образовательной организации по эффективному поведению на рынке труда; тесты и задания                                 для самостоятельного изучения и анализа.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В области действует государственная программа «Реализация молодёжной политики и патриотического воспитания граждан                                 в Свердловской области до 2024 года». Она предполагает поддержку молодёжного предпринимательс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тва и работающей молодёжи; предоставление межбюджетных трансфертов из федерального бюджета                на реализацию федерального проекта «Ты – предприниматель»; создание                     и обеспечение деятельности центров молодёжного инновационного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творчества; гарантию первого рабочего места молодым специалистам (после окончания ВУЗов, 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СУЗов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); поддержку молодых семей (первые взносы                  при покупке жилья, беспроцентные займы).</w:t>
      </w:r>
      <w:r>
        <w:rPr>
          <w:rFonts w:eastAsiaTheme="majorEastAsia"/>
        </w:rPr>
      </w:r>
    </w:p>
    <w:p>
      <w:pPr>
        <w:ind w:firstLine="708"/>
        <w:jc w:val="both"/>
        <w:spacing w:lineRule="auto" w:line="240"/>
        <w:shd w:val="clear" w:fill="FFFFFF" w:color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В рамках </w:t>
      </w:r>
      <w:r>
        <w:rPr>
          <w:rFonts w:ascii="Times New Roman" w:hAnsi="Times New Roman" w:cs="Times New Roman" w:eastAsiaTheme="majorEastAsia"/>
          <w:color w:val="000000"/>
          <w:sz w:val="28"/>
          <w:szCs w:val="28"/>
        </w:rPr>
        <w:t xml:space="preserve">государственной программы «Содействие занятости населения Свердловской области до 2024 года» проводится комплекс мероприятий по трудоустройству и адаптации инвалидов, включая м</w:t>
      </w:r>
      <w:r>
        <w:rPr>
          <w:rFonts w:ascii="Times New Roman" w:hAnsi="Times New Roman" w:cs="Times New Roman" w:eastAsiaTheme="majorEastAsia"/>
          <w:sz w:val="28"/>
          <w:szCs w:val="28"/>
        </w:rPr>
        <w:t xml:space="preserve">ониторинг трудоустройства инвалидов молодого возраста из числа выпускников образовательных организаций.</w:t>
      </w:r>
      <w:r>
        <w:rPr>
          <w:rFonts w:eastAsiaTheme="majorEastAsia"/>
        </w:rPr>
      </w:r>
    </w:p>
    <w:p>
      <w:pPr>
        <w:pStyle w:val="925"/>
        <w:ind w:firstLine="709"/>
        <w:jc w:val="center"/>
        <w:spacing w:after="0" w:afterAutospacing="0" w:before="0" w:beforeAutospacing="0"/>
        <w:shd w:val="clear" w:fill="FFFFFF" w:color="auto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Тюменская область</w:t>
      </w:r>
      <w:r>
        <w:rPr>
          <w:rFonts w:eastAsiaTheme="minorHAnsi"/>
        </w:rPr>
      </w:r>
    </w:p>
    <w:p>
      <w:pPr>
        <w:pStyle w:val="925"/>
        <w:ind w:firstLine="709"/>
        <w:jc w:val="both"/>
        <w:spacing w:after="0" w:afterAutospacing="0" w:before="0" w:beforeAutospacing="0"/>
        <w:shd w:val="clear" w:fill="FFFFFF" w:color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Для трудоустройства молодых специалистов без опыта работы               по полученной специальности на территории области с 2009 года реализуется мероприятие по стажировке выпускников образовательных организаций                 и граждан, ищущих работу.</w:t>
      </w:r>
      <w:r>
        <w:rPr>
          <w:rFonts w:eastAsiaTheme="minorHAnsi"/>
        </w:rPr>
      </w:r>
    </w:p>
    <w:p>
      <w:pPr>
        <w:pStyle w:val="925"/>
        <w:ind w:firstLine="709"/>
        <w:jc w:val="both"/>
        <w:spacing w:after="0" w:afterAutospacing="0" w:before="0" w:beforeAutospacing="0"/>
        <w:shd w:val="clear" w:fill="FFFFFF" w:color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Участником стажировки может стать: выпускник образовательных организаций высшего и среднего профессионального образования (в течение года с даты выдачи документа об образовании или о квалификации,                            не имеющий опыта рабо</w:t>
      </w:r>
      <w:r>
        <w:rPr>
          <w:rFonts w:eastAsiaTheme="minorHAnsi"/>
          <w:sz w:val="28"/>
          <w:szCs w:val="28"/>
          <w:lang w:eastAsia="en-US"/>
        </w:rPr>
        <w:t xml:space="preserve">ты по полученной или родственной профессии; гражданин, ищущий работу (в течение трёх лет с даты выдачи документа               об образовании или о квалификации, не имеющий трудового стажа                           по полученной или родственной профессии);</w:t>
      </w:r>
      <w:r>
        <w:rPr>
          <w:rFonts w:eastAsiaTheme="minorHAnsi"/>
          <w:sz w:val="28"/>
          <w:szCs w:val="28"/>
          <w:lang w:eastAsia="en-US"/>
        </w:rPr>
        <w:t xml:space="preserve"> гражданин, ищущий работу (обучающийся по очной форме обучения последнего года обучения                         в профессиональных образовательных организациях, а также обучающийся на последних курсах по программе </w:t>
      </w:r>
      <w:r>
        <w:rPr>
          <w:rFonts w:eastAsiaTheme="minorHAnsi"/>
          <w:sz w:val="28"/>
          <w:szCs w:val="28"/>
          <w:lang w:eastAsia="en-US"/>
        </w:rPr>
        <w:t xml:space="preserve">специалитета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 xml:space="preserve">бакалавриата</w:t>
      </w:r>
      <w:r>
        <w:rPr>
          <w:rFonts w:eastAsiaTheme="minorHAnsi"/>
          <w:sz w:val="28"/>
          <w:szCs w:val="28"/>
          <w:lang w:eastAsia="en-US"/>
        </w:rPr>
        <w:t xml:space="preserve">,                                 и на 1,2 курсе по программам магистратуры).</w:t>
      </w:r>
      <w:r>
        <w:rPr>
          <w:rFonts w:eastAsiaTheme="minorHAnsi"/>
        </w:rPr>
      </w:r>
    </w:p>
    <w:p>
      <w:pPr>
        <w:pStyle w:val="925"/>
        <w:ind w:firstLine="709"/>
        <w:jc w:val="both"/>
        <w:spacing w:after="0" w:afterAutospacing="0" w:before="0" w:beforeAutospacing="0"/>
        <w:shd w:val="clear" w:fill="FFFFFF" w:color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Продолжительность стажировки составляет не более 3-х месяцев, засчитывается в общий страховой стаж и оформляется в трудовой книжке стажера.</w:t>
      </w:r>
      <w:r>
        <w:rPr>
          <w:rFonts w:eastAsiaTheme="minorHAnsi"/>
        </w:rPr>
      </w:r>
    </w:p>
    <w:p>
      <w:pPr>
        <w:pStyle w:val="925"/>
        <w:ind w:firstLine="709"/>
        <w:jc w:val="both"/>
        <w:spacing w:after="0" w:afterAutospacing="0" w:before="0" w:beforeAutospacing="0"/>
        <w:shd w:val="clear" w:fill="FFFFFF" w:color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Во вр</w:t>
      </w:r>
      <w:r>
        <w:rPr>
          <w:rFonts w:eastAsiaTheme="minorHAnsi"/>
          <w:sz w:val="28"/>
          <w:szCs w:val="28"/>
          <w:lang w:eastAsia="en-US"/>
        </w:rPr>
        <w:t xml:space="preserve">емя прохождения стажировки за стажером закрепляется наставник, который осуществляет общее руководство, ведет учет и контроль работы стажера. Работодатель выплачивает стажеру заработную плату                     в размере регионального МРОТ с учетом районно</w:t>
      </w:r>
      <w:r>
        <w:rPr>
          <w:rFonts w:eastAsiaTheme="minorHAnsi"/>
          <w:sz w:val="28"/>
          <w:szCs w:val="28"/>
          <w:lang w:eastAsia="en-US"/>
        </w:rPr>
        <w:t xml:space="preserve">го коэффициента                            и страховых взносов (плюс за неиспользованный отпуск при увольнении).                  В случае отсутствия возможности трудоустройства стажеру выдается отзыв          и рекомендации по дальнейшему трудоустройству.</w:t>
      </w:r>
      <w:r>
        <w:rPr>
          <w:rFonts w:eastAsiaTheme="minorHAnsi"/>
        </w:rPr>
      </w:r>
    </w:p>
    <w:p>
      <w:pPr>
        <w:pStyle w:val="925"/>
        <w:ind w:firstLine="709"/>
        <w:jc w:val="both"/>
        <w:spacing w:after="0" w:afterAutospacing="0" w:before="0" w:beforeAutospacing="0"/>
        <w:shd w:val="clear" w:fill="FFFFFF" w:color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Действует также проект «</w:t>
      </w:r>
      <w:r>
        <w:rPr>
          <w:rFonts w:eastAsiaTheme="minorHAnsi"/>
          <w:sz w:val="28"/>
          <w:szCs w:val="28"/>
          <w:lang w:eastAsia="en-US"/>
        </w:rPr>
        <w:t xml:space="preserve">Профстажировки</w:t>
      </w:r>
      <w:r>
        <w:rPr>
          <w:rFonts w:eastAsiaTheme="minorHAnsi"/>
          <w:sz w:val="28"/>
          <w:szCs w:val="28"/>
          <w:lang w:eastAsia="en-US"/>
        </w:rPr>
        <w:t xml:space="preserve"> 2.0» (</w:t>
      </w:r>
      <w:hyperlink r:id="rId18" w:tooltip="https://onf.ru/" w:history="1">
        <w:r>
          <w:rPr>
            <w:rFonts w:eastAsiaTheme="minorHAnsi"/>
            <w:sz w:val="28"/>
            <w:szCs w:val="28"/>
            <w:lang w:eastAsia="en-US"/>
          </w:rPr>
          <w:t xml:space="preserve">Общероссийского народного фронта</w:t>
        </w:r>
      </w:hyperlink>
      <w:r>
        <w:rPr>
          <w:rFonts w:eastAsiaTheme="minorHAnsi"/>
          <w:sz w:val="28"/>
          <w:szCs w:val="28"/>
          <w:lang w:eastAsia="en-US"/>
        </w:rPr>
        <w:t xml:space="preserve"> и НКО</w:t>
      </w:r>
      <w:hyperlink r:id="rId19" w:tooltip="https://rsv.ru/" w:history="1">
        <w:r>
          <w:rPr>
            <w:rFonts w:eastAsiaTheme="minorHAnsi"/>
            <w:sz w:val="28"/>
            <w:szCs w:val="28"/>
            <w:lang w:eastAsia="en-US"/>
          </w:rPr>
          <w:t xml:space="preserve"> «Россия – страна возможностей»</w:t>
        </w:r>
      </w:hyperlink>
      <w:r>
        <w:rPr>
          <w:rFonts w:eastAsiaTheme="minorHAnsi"/>
          <w:sz w:val="28"/>
          <w:szCs w:val="28"/>
          <w:lang w:eastAsia="en-US"/>
        </w:rPr>
        <w:t xml:space="preserve">) фед</w:t>
      </w:r>
      <w:r>
        <w:rPr>
          <w:rFonts w:eastAsiaTheme="minorHAnsi"/>
          <w:sz w:val="28"/>
          <w:szCs w:val="28"/>
          <w:lang w:eastAsia="en-US"/>
        </w:rPr>
        <w:t xml:space="preserve">ерального проекта «Социальные лифты для каждого». Данный проект помогает студентам и аспирантам инженерно-технических и рабочих специальностей подобрать предприятие для прохождения стажировки по специальности                        в любом регионе России. </w:t>
      </w:r>
      <w:r>
        <w:rPr>
          <w:rFonts w:eastAsiaTheme="minorHAnsi"/>
        </w:rPr>
      </w:r>
    </w:p>
    <w:p>
      <w:pPr>
        <w:pStyle w:val="925"/>
        <w:ind w:firstLine="709"/>
        <w:jc w:val="both"/>
        <w:spacing w:after="0" w:afterAutospacing="0" w:before="0" w:beforeAutospacing="0"/>
        <w:shd w:val="clear" w:fill="FFFFFF" w:color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Тюменском госуниверситете запущена цифровая платформа «</w:t>
      </w:r>
      <w:r>
        <w:rPr>
          <w:rFonts w:eastAsiaTheme="minorHAnsi"/>
          <w:sz w:val="28"/>
          <w:szCs w:val="28"/>
          <w:lang w:eastAsia="en-US"/>
        </w:rPr>
        <w:fldChar w:fldCharType="begin"/>
      </w:r>
      <w:r>
        <w:rPr>
          <w:rFonts w:eastAsiaTheme="minorHAnsi"/>
          <w:sz w:val="28"/>
          <w:szCs w:val="28"/>
          <w:lang w:eastAsia="en-US"/>
        </w:rPr>
        <w:instrText xml:space="preserve"> HYPERLINK "https://facultetus.ru/" \t "_blank" </w:instrText>
      </w:r>
      <w:r>
        <w:rPr>
          <w:rFonts w:eastAsiaTheme="minorHAnsi"/>
          <w:sz w:val="28"/>
          <w:szCs w:val="28"/>
          <w:lang w:eastAsia="en-US"/>
        </w:rPr>
        <w:fldChar w:fldCharType="separate"/>
      </w:r>
      <w:r>
        <w:rPr>
          <w:rFonts w:eastAsiaTheme="minorHAnsi"/>
          <w:sz w:val="28"/>
          <w:szCs w:val="28"/>
          <w:lang w:eastAsia="en-US"/>
        </w:rPr>
        <w:t xml:space="preserve">Факультетус</w:t>
      </w:r>
      <w:r>
        <w:rPr>
          <w:rFonts w:eastAsiaTheme="minorHAnsi"/>
          <w:sz w:val="28"/>
          <w:szCs w:val="28"/>
          <w:lang w:eastAsia="en-US"/>
        </w:rPr>
        <w:fldChar w:fldCharType="end"/>
      </w:r>
      <w:r>
        <w:rPr>
          <w:rFonts w:eastAsiaTheme="minorHAnsi"/>
          <w:sz w:val="28"/>
          <w:szCs w:val="28"/>
          <w:lang w:eastAsia="en-US"/>
        </w:rPr>
        <w:t xml:space="preserve">», где работодатели могут сформировать кадровый резерв - подобрать молодых сотрудников. Студенты и выпускники размещают здесь </w:t>
      </w:r>
      <w:r>
        <w:rPr>
          <w:rFonts w:eastAsiaTheme="minorHAnsi"/>
          <w:sz w:val="28"/>
          <w:szCs w:val="28"/>
          <w:lang w:eastAsia="en-US"/>
        </w:rPr>
        <w:t xml:space="preserve">резюме, могут найти подходящие вакансии для трудоустройства и места для стажировок, записаться на мероприятия, вести профили своих проектов.</w:t>
      </w:r>
      <w:r>
        <w:rPr>
          <w:rFonts w:eastAsiaTheme="minorHAnsi"/>
        </w:rPr>
      </w:r>
    </w:p>
    <w:p>
      <w:pPr>
        <w:pStyle w:val="925"/>
        <w:ind w:firstLine="709"/>
        <w:jc w:val="both"/>
        <w:spacing w:after="0" w:afterAutospacing="0" w:before="0" w:beforeAutospacing="0"/>
        <w:shd w:val="clear" w:fill="FFFFFF" w:color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 основе данных «</w:t>
      </w:r>
      <w:r>
        <w:rPr>
          <w:rFonts w:eastAsiaTheme="minorHAnsi"/>
          <w:sz w:val="28"/>
          <w:szCs w:val="28"/>
          <w:lang w:eastAsia="en-US"/>
        </w:rPr>
        <w:t xml:space="preserve">Факультетуса</w:t>
      </w:r>
      <w:r>
        <w:rPr>
          <w:rFonts w:eastAsiaTheme="minorHAnsi"/>
          <w:sz w:val="28"/>
          <w:szCs w:val="28"/>
          <w:lang w:eastAsia="en-US"/>
        </w:rPr>
        <w:t xml:space="preserve">» считывается специфика каждого направления, формируются карьерные траектории и рекомендации. Платформа интегрирована с порталами «Работа в России» и </w:t>
      </w:r>
      <w:r>
        <w:rPr>
          <w:rFonts w:eastAsiaTheme="minorHAnsi"/>
          <w:sz w:val="28"/>
          <w:szCs w:val="28"/>
          <w:lang w:eastAsia="en-US"/>
        </w:rPr>
        <w:t xml:space="preserve">HeadHunter</w:t>
      </w:r>
      <w:r>
        <w:rPr>
          <w:rFonts w:eastAsiaTheme="minorHAnsi"/>
          <w:sz w:val="28"/>
          <w:szCs w:val="28"/>
          <w:lang w:eastAsia="en-US"/>
        </w:rPr>
        <w:t xml:space="preserve">, платформами </w:t>
      </w:r>
      <w:r>
        <w:rPr>
          <w:rFonts w:eastAsiaTheme="minorHAnsi"/>
          <w:sz w:val="28"/>
          <w:szCs w:val="28"/>
          <w:lang w:eastAsia="en-US"/>
        </w:rPr>
        <w:t xml:space="preserve">Stepik</w:t>
      </w:r>
      <w:r>
        <w:rPr>
          <w:rFonts w:eastAsiaTheme="minorHAnsi"/>
          <w:sz w:val="28"/>
          <w:szCs w:val="28"/>
          <w:lang w:eastAsia="en-US"/>
        </w:rPr>
        <w:t xml:space="preserve">, «Лифт в будущее», </w:t>
      </w:r>
      <w:r>
        <w:rPr>
          <w:rFonts w:eastAsiaTheme="minorHAnsi"/>
          <w:sz w:val="28"/>
          <w:szCs w:val="28"/>
          <w:lang w:eastAsia="en-US"/>
        </w:rPr>
        <w:t xml:space="preserve">Leader</w:t>
      </w:r>
      <w:r>
        <w:rPr>
          <w:rFonts w:eastAsiaTheme="minorHAnsi"/>
          <w:sz w:val="28"/>
          <w:szCs w:val="28"/>
          <w:lang w:eastAsia="en-US"/>
        </w:rPr>
        <w:t xml:space="preserve"> ID, Современная цифровая образовательная среда, </w:t>
      </w:r>
      <w:r>
        <w:rPr>
          <w:rFonts w:eastAsiaTheme="minorHAnsi"/>
          <w:sz w:val="28"/>
          <w:szCs w:val="28"/>
          <w:lang w:eastAsia="en-US"/>
        </w:rPr>
        <w:t xml:space="preserve">GitHub</w:t>
      </w:r>
      <w:r>
        <w:rPr>
          <w:rFonts w:eastAsiaTheme="minorHAnsi"/>
          <w:sz w:val="28"/>
          <w:szCs w:val="28"/>
          <w:lang w:eastAsia="en-US"/>
        </w:rPr>
        <w:t xml:space="preserve"> и VC, соединена                  с ботами в </w:t>
      </w:r>
      <w:r>
        <w:rPr>
          <w:rFonts w:eastAsiaTheme="minorHAnsi"/>
          <w:sz w:val="28"/>
          <w:szCs w:val="28"/>
          <w:lang w:eastAsia="en-US"/>
        </w:rPr>
        <w:t xml:space="preserve">Telegram</w:t>
      </w:r>
      <w:r>
        <w:rPr>
          <w:rFonts w:eastAsiaTheme="minorHAnsi"/>
          <w:sz w:val="28"/>
          <w:szCs w:val="28"/>
          <w:lang w:eastAsia="en-US"/>
        </w:rPr>
        <w:t xml:space="preserve"> и </w:t>
      </w:r>
      <w:r>
        <w:rPr>
          <w:rFonts w:eastAsiaTheme="minorHAnsi"/>
          <w:sz w:val="28"/>
          <w:szCs w:val="28"/>
          <w:lang w:eastAsia="en-US"/>
        </w:rPr>
        <w:t xml:space="preserve">Discord</w:t>
      </w:r>
      <w:r>
        <w:rPr>
          <w:rFonts w:eastAsiaTheme="minorHAnsi"/>
          <w:sz w:val="28"/>
          <w:szCs w:val="28"/>
          <w:lang w:eastAsia="en-US"/>
        </w:rPr>
        <w:t xml:space="preserve">.</w:t>
      </w:r>
      <w:r>
        <w:rPr>
          <w:rFonts w:eastAsiaTheme="minorHAnsi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</w:r>
      <w:r>
        <w:rPr>
          <w:rFonts w:eastAsiaTheme="minorHAnsi"/>
        </w:rPr>
      </w:r>
    </w:p>
    <w:p>
      <w:pPr>
        <w:ind w:firstLine="708"/>
        <w:jc w:val="center"/>
        <w:spacing w:lineRule="auto" w:line="24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eastAsiaTheme="minorHAnsi"/>
          <w:b/>
          <w:sz w:val="28"/>
          <w:szCs w:val="28"/>
        </w:rPr>
        <w:t xml:space="preserve">Челябинская область</w:t>
      </w:r>
      <w:r>
        <w:rPr>
          <w:rFonts w:eastAsiaTheme="minorHAnsi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В рамках областной госпрограммы содействия занятости населения             (от 24 дека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бря 2020 года) действует подпрограмма "Содействие занятости граждан, особо нуждающихся в социальной защите и испытывающих трудности в поиске работы". Она вместе с рядом других подпрограмм напрямую связана с интересами молодежи в решении проблем занятости. </w:t>
      </w:r>
      <w:r>
        <w:rPr>
          <w:rFonts w:eastAsiaTheme="minorHAnsi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В числе «ожидаемого» при выполнении Программы: снижение уровня регистрируемой безработицы до 1%, уменьшение коэффициента напряженности на рынке труда до 2,1 чело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века на вакансию, сохранение численности безработных граждан, приступивших к профессиональному обучению и получению дополнительного профессионального образования, на уровне 5,1 тыс. человек ежегодно; обеспечение доли граждан, получивших государственную усл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угу по содействию в поиске подходящей работы                     и обратившихся в органы службы занятости в целях поиска работы,                       на уровне 100%; увеличение количества организаций с действующими коллективными договорами до 3450 единиц.</w:t>
      </w:r>
      <w:r>
        <w:rPr>
          <w:rFonts w:eastAsiaTheme="minorHAnsi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Times New Roman"/>
          <w:color w:val="000000"/>
          <w:sz w:val="28"/>
          <w:szCs w:val="28"/>
        </w:rPr>
      </w:pPr>
      <w:r>
        <w:rPr>
          <w:rFonts w:ascii="Times New Roman" w:hAnsi="Times New Roman" w:cs="Times New Roman" w:eastAsia="Times New Roman" w:eastAsiaTheme="minorHAnsi"/>
          <w:color w:val="000000"/>
          <w:sz w:val="28"/>
          <w:szCs w:val="28"/>
        </w:rPr>
      </w:r>
      <w:r>
        <w:rPr>
          <w:rFonts w:eastAsiaTheme="minorHAnsi"/>
        </w:rPr>
      </w:r>
    </w:p>
    <w:p>
      <w:pPr>
        <w:pStyle w:val="927"/>
        <w:ind w:left="-426" w:firstLine="568"/>
        <w:jc w:val="center"/>
        <w:spacing w:after="0" w:afterAutospacing="0" w:before="0" w:beforeAutospacing="0"/>
        <w:shd w:val="clear" w:fill="FFFFFF" w:color="auto"/>
        <w:rPr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 xml:space="preserve">Ямало-Ненецкий автономный округ</w:t>
      </w:r>
      <w:r>
        <w:rPr>
          <w:rFonts w:eastAsiaTheme="minorHAnsi"/>
        </w:rPr>
      </w:r>
    </w:p>
    <w:p>
      <w:pPr>
        <w:pStyle w:val="927"/>
        <w:ind w:firstLine="709"/>
        <w:jc w:val="both"/>
        <w:spacing w:after="0" w:afterAutospacing="0" w:before="0" w:beforeAutospacing="0"/>
        <w:shd w:val="clear" w:fill="FFFFFF" w:color="auto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Реализуются следующие региональные программы занятости молодёжи.</w:t>
      </w:r>
      <w:r>
        <w:rPr>
          <w:rFonts w:eastAsiaTheme="minorHAnsi"/>
        </w:rPr>
      </w:r>
    </w:p>
    <w:p>
      <w:pPr>
        <w:pStyle w:val="927"/>
        <w:ind w:firstLine="709"/>
        <w:jc w:val="both"/>
        <w:spacing w:after="0" w:afterAutospacing="0" w:before="0" w:beforeAutospacing="0"/>
        <w:shd w:val="clear" w:fill="FFFFFF" w:color="auto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Проект «Капитал молодого специалиста» </w:t>
      </w:r>
      <w:r>
        <w:rPr>
          <w:rFonts w:eastAsiaTheme="minorHAnsi"/>
          <w:sz w:val="28"/>
          <w:szCs w:val="28"/>
        </w:rPr>
        <w:t xml:space="preserve">- с целью постоянного трудоустройства выпускников профессиональных образовательных организаций, проживающих на Ямале. Выпускнику выдается сертификат, подтверждающий право на получение государственной поддержки в размере 30 тыс. рублей, увеличенном на страх</w:t>
      </w:r>
      <w:r>
        <w:rPr>
          <w:rFonts w:eastAsiaTheme="minorHAnsi"/>
          <w:sz w:val="28"/>
          <w:szCs w:val="28"/>
        </w:rPr>
        <w:t xml:space="preserve">овые взносы во внебюджетные фонды. Работодатель принимает на работу выпускника, имеющего сертификат                   на постоянное рабочее место, без испытательного срока. За период                    2012-2020 годов участником проекта стал 181 выпускник.</w:t>
      </w:r>
      <w:r>
        <w:rPr>
          <w:rFonts w:eastAsiaTheme="minorHAnsi"/>
        </w:rPr>
      </w:r>
    </w:p>
    <w:p>
      <w:pPr>
        <w:pStyle w:val="927"/>
        <w:ind w:firstLine="709"/>
        <w:jc w:val="both"/>
        <w:spacing w:after="0" w:afterAutospacing="0" w:before="0" w:beforeAutospacing="0"/>
        <w:shd w:val="clear" w:fill="FFFFFF" w:color="auto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Стажировка выпускников - производственная деятельность                           для приобретения опыта работы по полученной специальности в форме с</w:t>
      </w:r>
      <w:r>
        <w:rPr>
          <w:rFonts w:eastAsiaTheme="minorHAnsi"/>
          <w:sz w:val="28"/>
          <w:szCs w:val="28"/>
        </w:rPr>
        <w:t xml:space="preserve">оздания рабочих мест для студентов последних курсов и выпускников профессиональных образовательных организаций в соответствии                             с имеющейся специальностью (смежной профессией) на основании заключаемого срочного трудового договора.</w:t>
      </w:r>
      <w:r>
        <w:rPr>
          <w:rFonts w:eastAsiaTheme="minorHAnsi"/>
        </w:rPr>
      </w:r>
    </w:p>
    <w:p>
      <w:pPr>
        <w:pStyle w:val="927"/>
        <w:ind w:firstLine="709"/>
        <w:jc w:val="both"/>
        <w:spacing w:after="0" w:afterAutospacing="0" w:before="0" w:beforeAutospacing="0"/>
        <w:shd w:val="clear" w:fill="FFFFFF" w:color="auto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При прохождении стажировки к выпускникам может быть прикреплен наставник - работник, осуществляющий стажировку выпускников в рабочее время на основании приказа работодателя. С 2014 года стажировку прошли 227 человек.</w:t>
      </w:r>
      <w:r>
        <w:rPr>
          <w:rFonts w:eastAsiaTheme="minorHAnsi"/>
        </w:rPr>
      </w:r>
    </w:p>
    <w:p>
      <w:pPr>
        <w:pStyle w:val="927"/>
        <w:ind w:firstLine="709"/>
        <w:jc w:val="both"/>
        <w:spacing w:after="0" w:afterAutospacing="0" w:before="0" w:beforeAutospacing="0"/>
        <w:shd w:val="clear" w:fill="FFFFFF" w:color="auto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Обеспечивается государственная поддержка для работодателей округа, участников программы «Содействие занятости населения на 2014- 2024 годы». В числе мероприятий программы:</w:t>
      </w:r>
      <w:r>
        <w:rPr>
          <w:rFonts w:eastAsiaTheme="minorHAnsi"/>
        </w:rPr>
      </w:r>
    </w:p>
    <w:p>
      <w:pPr>
        <w:pStyle w:val="927"/>
        <w:jc w:val="both"/>
        <w:spacing w:after="0" w:afterAutospacing="0" w:before="0" w:beforeAutospacing="0"/>
        <w:shd w:val="clear" w:fill="FFFFFF" w:color="auto"/>
        <w:rPr>
          <w:sz w:val="40"/>
          <w:szCs w:val="28"/>
        </w:rPr>
      </w:pPr>
      <w:r>
        <w:rPr>
          <w:rFonts w:eastAsiaTheme="minorHAnsi"/>
          <w:sz w:val="28"/>
          <w:szCs w:val="20"/>
        </w:rPr>
        <w:t xml:space="preserve">           организация временного трудоустройства безработных граждан в возрасте от 18 до 20 лет, им</w:t>
      </w:r>
      <w:r>
        <w:rPr>
          <w:rFonts w:eastAsiaTheme="minorHAnsi"/>
          <w:sz w:val="28"/>
          <w:szCs w:val="20"/>
        </w:rPr>
        <w:t xml:space="preserve">еющих среднее профессиональное образование и ищущих работу впервые; организация временного трудоустройства несовершеннолетних граждан в возрасте от 14 до 18 лет в свободное                       от учебы время; оказание содействия в трудоустройстве инвалид</w:t>
      </w:r>
      <w:r>
        <w:rPr>
          <w:rFonts w:eastAsiaTheme="minorHAnsi"/>
          <w:sz w:val="28"/>
          <w:szCs w:val="20"/>
        </w:rPr>
        <w:t xml:space="preserve">ам молодого возраста; организация стажировки женщин, в том числе женщин, воспитывающих детей в возрасте от полутора до трех лет, прошедших профессиональное обучение или получивших дополнительное профессиональное образование по направлению службы занятости.</w:t>
      </w:r>
      <w:r>
        <w:rPr>
          <w:rFonts w:eastAsiaTheme="minorHAnsi"/>
        </w:rPr>
      </w:r>
    </w:p>
    <w:p>
      <w:pPr>
        <w:pStyle w:val="927"/>
        <w:ind w:firstLine="709"/>
        <w:jc w:val="both"/>
        <w:spacing w:after="0" w:afterAutospacing="0" w:before="0" w:beforeAutospacing="0"/>
        <w:shd w:val="clear" w:fill="FFFFFF" w:color="auto"/>
        <w:rPr>
          <w:sz w:val="40"/>
          <w:szCs w:val="28"/>
        </w:rPr>
      </w:pPr>
      <w:r>
        <w:rPr>
          <w:rFonts w:eastAsiaTheme="minorHAnsi"/>
          <w:sz w:val="28"/>
          <w:szCs w:val="28"/>
        </w:rPr>
        <w:t xml:space="preserve">Предусмотрены меры социальной поддержки молодых специалистов: </w:t>
      </w:r>
      <w:r>
        <w:rPr>
          <w:rFonts w:eastAsiaTheme="minorHAnsi"/>
          <w:sz w:val="28"/>
          <w:szCs w:val="20"/>
        </w:rPr>
        <w:t xml:space="preserve">максимальный размер процентной надбавки к заработной плате за стаж работы</w:t>
      </w:r>
      <w:r>
        <w:rPr>
          <w:rFonts w:eastAsiaTheme="minorHAnsi"/>
          <w:sz w:val="28"/>
          <w:szCs w:val="20"/>
        </w:rPr>
        <w:t xml:space="preserve"> в районах Крайнего Севера с первого дня работы; единовременная выплата 100 тысяч рублей; единовременные выплаты, прибывшим                           в сельскую местность, рабочие поселки, поселки городского типа или города с населением до 50 тыс. человек;</w:t>
      </w:r>
      <w:r>
        <w:rPr>
          <w:rFonts w:eastAsiaTheme="minorHAnsi"/>
          <w:sz w:val="28"/>
          <w:szCs w:val="20"/>
        </w:rPr>
        <w:t xml:space="preserve"> </w:t>
      </w:r>
      <w:r>
        <w:rPr>
          <w:rFonts w:eastAsiaTheme="minorHAnsi"/>
          <w:sz w:val="28"/>
          <w:szCs w:val="20"/>
        </w:rPr>
        <w:t xml:space="preserve">компенсация расходов в сельской местности и поселках городского типа: за наем жилья и (или) на его содержание; социальная выплата 40% от расчетной стоимости на покупку жилья в новос</w:t>
      </w:r>
      <w:r>
        <w:rPr>
          <w:rFonts w:eastAsiaTheme="minorHAnsi"/>
          <w:sz w:val="28"/>
          <w:szCs w:val="20"/>
        </w:rPr>
        <w:t xml:space="preserve">тройке и уплату первоначального взноса при оформлении ипотеки; единовременная выплата врачам дефицитных специальностей,                не имеющим стажа работы и трудоустроившимся в амбулатории городов округа (проект «Врачи, нужные Ямалу»), – 1 млн. рублей;</w:t>
      </w:r>
      <w:r>
        <w:rPr>
          <w:rFonts w:eastAsiaTheme="minorHAnsi"/>
          <w:sz w:val="28"/>
          <w:szCs w:val="20"/>
        </w:rPr>
        <w:t xml:space="preserve"> проект «Новый учитель Ямала», где победители получают грант в размере 600 тыс. рублей.</w:t>
      </w:r>
      <w:r>
        <w:rPr>
          <w:rFonts w:eastAsiaTheme="minorHAnsi"/>
        </w:rPr>
      </w:r>
    </w:p>
    <w:p>
      <w:pPr>
        <w:pStyle w:val="927"/>
        <w:ind w:firstLine="709"/>
        <w:jc w:val="both"/>
        <w:spacing w:after="0" w:afterAutospacing="0" w:before="0" w:beforeAutospacing="0"/>
        <w:shd w:val="clear" w:fill="FFFFFF" w:color="auto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Проводится мониторинг рынка труда молодежи. По его данным: </w:t>
      </w:r>
      <w:r>
        <w:rPr>
          <w:rFonts w:eastAsiaTheme="minorHAnsi"/>
        </w:rPr>
      </w:r>
    </w:p>
    <w:p>
      <w:pPr>
        <w:pStyle w:val="93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 xml:space="preserve">- численность зарегистрированных безработных граждан в возрасте               16-29 лет на 30 ноября 2020 года составила 2 209 человек (174 человека 16- 19 лет, 2 035 человек 20-29 лет), что на 1 774 человека больше по сравнению с 2019, «</w:t>
      </w:r>
      <w:r>
        <w:rPr>
          <w:rFonts w:ascii="Times New Roman" w:hAnsi="Times New Roman" w:eastAsiaTheme="minorHAnsi"/>
          <w:sz w:val="28"/>
          <w:szCs w:val="28"/>
        </w:rPr>
        <w:t xml:space="preserve">доковидным</w:t>
      </w:r>
      <w:r>
        <w:rPr>
          <w:rFonts w:ascii="Times New Roman" w:hAnsi="Times New Roman" w:eastAsiaTheme="minorHAnsi"/>
          <w:sz w:val="28"/>
          <w:szCs w:val="28"/>
        </w:rPr>
        <w:t xml:space="preserve">» годом, а уровень трудоустройства молодежи составил 36%, трудоустроено 2 517 человек, в том числе 815 граждан на временные работы;</w:t>
      </w:r>
      <w:r>
        <w:rPr>
          <w:rFonts w:eastAsiaTheme="minorHAnsi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 xml:space="preserve">- ежегодно трудовой занятостью охватывается порядка 21% несовершеннолетних граждан от общей численности граждан в возрасте             14-17 лет; </w:t>
      </w:r>
      <w:r>
        <w:rPr>
          <w:rFonts w:eastAsiaTheme="minorHAnsi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 xml:space="preserve">- в 2020 году при финансо</w:t>
      </w:r>
      <w:r>
        <w:rPr>
          <w:rFonts w:ascii="Times New Roman" w:hAnsi="Times New Roman" w:eastAsiaTheme="minorHAnsi"/>
          <w:sz w:val="28"/>
          <w:szCs w:val="28"/>
        </w:rPr>
        <w:t xml:space="preserve">вой поддержке службы занятости населения (91,7 тыс. рублей, с 2021 года – 150 тыс. рублей) ряды предпринимателей округа пополнились 30 бизнесменами из числа молодежи, в том числе                    11 человек открыли собственное дело в сельской местности. </w:t>
      </w:r>
      <w:r>
        <w:rPr>
          <w:rFonts w:eastAsiaTheme="minorHAnsi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 xml:space="preserve">В настоящее время разрабатывается механизм по привлечению                       в регион выпускников, уехавших из автономного округа для получения высшего образования.</w:t>
      </w:r>
      <w:r>
        <w:rPr>
          <w:rFonts w:eastAsiaTheme="minorHAnsi"/>
        </w:rPr>
      </w:r>
    </w:p>
    <w:p>
      <w:pPr>
        <w:ind w:right="-851"/>
        <w:jc w:val="center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eastAsiaTheme="minorHAnsi"/>
        </w:rPr>
      </w:r>
      <w:hyperlink r:id="rId20" w:tooltip="https://ru.wikipedia.org/wiki/%D0%A4%D0%B5%D0%B4%D0%B5%D1%80%D0%B0%D0%BB%D1%8C%D0%BD%D1%8B%D0%B5_%D0%BE%D0%BA%D1%80%D1%83%D0%B3%D0%B0_%D0%A0%D0%BE%D1%81%D1%81%D0%B8%D0%B9%D1%81%D0%BA%D0%BE%D0%B9_%D0%A4%D0%B5%D0%B4%D0%B5%D1%80%D0%B0%D1%86%D0%B8%D0%B8#%D0%A1%D0%" w:anchor="%D0%A1%D0%B8%D0%B1%D0%B8%D1%80%D1%81%D0%BA%D0%B8%D0%B9" w:history="1">
        <w:r>
          <w:rPr>
            <w:rStyle w:val="922"/>
            <w:rFonts w:ascii="Times New Roman" w:hAnsi="Times New Roman" w:eastAsiaTheme="minorHAnsi"/>
            <w:color w:val="auto"/>
            <w:sz w:val="28"/>
            <w:szCs w:val="28"/>
            <w:u w:val="none"/>
          </w:rPr>
          <w:t xml:space="preserve">СИБИРСКИЙ</w:t>
        </w:r>
      </w:hyperlink>
      <w:r>
        <w:rPr>
          <w:rFonts w:ascii="Times New Roman" w:hAnsi="Times New Roman" w:cs="Times New Roman" w:eastAsiaTheme="minorHAnsi"/>
          <w:sz w:val="28"/>
          <w:szCs w:val="28"/>
          <w:lang w:eastAsia="ru-RU"/>
        </w:rPr>
        <w:t xml:space="preserve"> ФЕДЕРАЛЬНЫЙ ОКРУГ</w:t>
      </w:r>
      <w:r>
        <w:rPr>
          <w:rFonts w:eastAsiaTheme="minorHAnsi"/>
        </w:rPr>
      </w:r>
    </w:p>
    <w:p>
      <w:pPr>
        <w:pStyle w:val="932"/>
        <w:jc w:val="center"/>
        <w:rPr>
          <w:rStyle w:val="940"/>
          <w:rFonts w:ascii="Times New Roman" w:hAnsi="Times New Roman"/>
          <w:b/>
          <w:sz w:val="28"/>
          <w:szCs w:val="28"/>
        </w:rPr>
      </w:pPr>
      <w:r>
        <w:rPr>
          <w:rStyle w:val="940"/>
          <w:rFonts w:ascii="Times New Roman" w:hAnsi="Times New Roman" w:eastAsiaTheme="minorHAnsi"/>
          <w:b/>
          <w:sz w:val="28"/>
          <w:szCs w:val="28"/>
        </w:rPr>
        <w:t xml:space="preserve">Алтайский край</w:t>
      </w:r>
      <w:r>
        <w:rPr>
          <w:rFonts w:eastAsiaTheme="minorHAnsi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В рамках краевой госпрограммы «Развитие молодежной политики                  в Алтайском крае», рассчитанной на период 2020-2024 гг., в частности подпрограммы «Совершенство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вание системы вовлечения молодежи                         в трудовую деятельность», центры занятости населения края активно работают непосредственно в учебных заведениях и с работодателями.                        В результате, заключаются договора о времен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ном трудоустройстве                         на предприятиях, где в дальнейшем молодые люди решают продолжить работу или продолжить поиски, создаются условия для самореализации молодежи, в том числе в студенческих отрядах и предпринимательской деятельности.</w:t>
      </w:r>
      <w:r>
        <w:rPr>
          <w:rFonts w:eastAsiaTheme="minorHAnsi"/>
        </w:rPr>
      </w:r>
    </w:p>
    <w:p>
      <w:pPr>
        <w:pStyle w:val="93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За счет средств бюджетов и работодателей реализуется программы «Организация временного трудоустройства граждан в возрасте 18-20 лет            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   из числа выпускников учреждений начального и среднего профессионального образования, ищущих работу впервые» и «Организация временного трудоустройства несовершеннолетних граждан в возрасте                     от 14 до 18 лет в свободное от учебы время». </w:t>
      </w:r>
      <w:r>
        <w:rPr>
          <w:rFonts w:eastAsiaTheme="minorHAnsi"/>
        </w:rPr>
      </w:r>
    </w:p>
    <w:p>
      <w:pPr>
        <w:pStyle w:val="93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В 2021 году создан краевой Совет работающей молодежи, объединивший действующие молодежные советы предприятий для более эффективного решения актуальных вопросов молодых работников.</w:t>
      </w:r>
      <w:r>
        <w:rPr>
          <w:rFonts w:eastAsiaTheme="minorHAnsi"/>
        </w:rPr>
      </w:r>
    </w:p>
    <w:p>
      <w:pPr>
        <w:jc w:val="center"/>
        <w:spacing w:lineRule="auto" w:line="240"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 w:eastAsiaTheme="minorHAnsi"/>
          <w:b/>
          <w:sz w:val="28"/>
        </w:rPr>
      </w:r>
      <w:r>
        <w:rPr>
          <w:rFonts w:eastAsiaTheme="minorHAnsi"/>
        </w:rPr>
      </w:r>
    </w:p>
    <w:p>
      <w:pPr>
        <w:jc w:val="center"/>
        <w:spacing w:lineRule="auto" w:line="240"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 w:eastAsiaTheme="minorHAnsi"/>
          <w:b/>
          <w:sz w:val="28"/>
        </w:rPr>
        <w:t xml:space="preserve">Забайкальский край</w:t>
      </w:r>
      <w:r>
        <w:rPr>
          <w:rFonts w:eastAsiaTheme="minorHAnsi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eastAsiaTheme="minorHAnsi"/>
          <w:sz w:val="28"/>
        </w:rPr>
        <w:t xml:space="preserve">Постановлением Правительства края от 23 октября 2018 года утверждена Стратегия государственной молодёжной политики Забайкальского края до 2025 года, которой в числе других мер предусматривается создание ус</w:t>
      </w:r>
      <w:r>
        <w:rPr>
          <w:rFonts w:ascii="Times New Roman" w:hAnsi="Times New Roman" w:cs="Times New Roman" w:eastAsiaTheme="minorHAnsi"/>
          <w:sz w:val="28"/>
        </w:rPr>
        <w:t xml:space="preserve">ловий для самореализации молодежи Забайкалья, стимулирование трудовой и образовательной мобильности молодых людей, проведение научно-аналитических исследований                          по вопросам положения молодежи на региональном и муниципальном уровнях.</w:t>
      </w:r>
      <w:r>
        <w:rPr>
          <w:rFonts w:eastAsiaTheme="minorHAnsi"/>
        </w:rPr>
      </w:r>
    </w:p>
    <w:p>
      <w:pPr>
        <w:pStyle w:val="928"/>
        <w:ind w:firstLine="709"/>
        <w:jc w:val="center"/>
        <w:spacing w:after="0" w:afterAutospacing="0" w:before="0" w:beforeAutospacing="0"/>
        <w:rPr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</w:r>
      <w:r>
        <w:rPr>
          <w:rFonts w:eastAsiaTheme="minorHAnsi"/>
        </w:rPr>
      </w:r>
    </w:p>
    <w:p>
      <w:pPr>
        <w:jc w:val="center"/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Theme="minorHAnsi"/>
          <w:b/>
          <w:sz w:val="28"/>
          <w:szCs w:val="28"/>
          <w:lang w:eastAsia="ru-RU"/>
        </w:rPr>
        <w:t xml:space="preserve">Иркутская область</w:t>
      </w:r>
      <w:r>
        <w:rPr>
          <w:rFonts w:eastAsiaTheme="minorHAnsi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Theme="minorHAnsi"/>
          <w:sz w:val="28"/>
          <w:szCs w:val="28"/>
          <w:lang w:eastAsia="ru-RU"/>
        </w:rPr>
        <w:t xml:space="preserve">Программой </w:t>
      </w:r>
      <w:r>
        <w:rPr>
          <w:rFonts w:ascii="Times New Roman" w:hAnsi="Times New Roman" w:cs="Times New Roman" w:eastAsiaTheme="minorHAnsi"/>
          <w:b/>
          <w:bCs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 w:eastAsiaTheme="minorHAnsi"/>
          <w:bCs/>
          <w:sz w:val="28"/>
          <w:szCs w:val="28"/>
          <w:lang w:eastAsia="ru-RU"/>
        </w:rPr>
        <w:t xml:space="preserve"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впервые» </w:t>
      </w:r>
      <w:r>
        <w:rPr>
          <w:rFonts w:ascii="Times New Roman" w:hAnsi="Times New Roman" w:cs="Times New Roman" w:eastAsiaTheme="minorHAnsi"/>
          <w:sz w:val="28"/>
          <w:szCs w:val="28"/>
          <w:lang w:eastAsia="ru-RU"/>
        </w:rPr>
        <w:t xml:space="preserve">предоставляется возможность принять участие в мероприятиях по временному трудоустройству                           на предприятиях, создавших временные рабочие места. При этом</w:t>
      </w:r>
      <w:r>
        <w:rPr>
          <w:rFonts w:ascii="Times New Roman" w:hAnsi="Times New Roman" w:cs="Times New Roman" w:eastAsiaTheme="minorHAnsi"/>
          <w:sz w:val="28"/>
          <w:szCs w:val="28"/>
          <w:lang w:eastAsia="ru-RU"/>
        </w:rPr>
        <w:br/>
        <w:t xml:space="preserve">работодатель - осуществляет оплату труда, органы занятости - оказывает материальную поддержку (не ниже минимального размера пособия                       по безработице), участники - проявляют знания, полученные в учебном </w:t>
      </w:r>
      <w:r>
        <w:rPr>
          <w:rFonts w:ascii="Times New Roman" w:hAnsi="Times New Roman" w:cs="Times New Roman" w:eastAsiaTheme="minorHAnsi"/>
          <w:sz w:val="28"/>
          <w:szCs w:val="28"/>
          <w:lang w:eastAsia="ru-RU"/>
        </w:rPr>
        <w:t xml:space="preserve">заведении, приобретают опыт и навыки работы, </w:t>
      </w:r>
      <w:r>
        <w:rPr>
          <w:rFonts w:ascii="Times New Roman" w:hAnsi="Times New Roman" w:cs="Times New Roman" w:eastAsiaTheme="minorHAnsi"/>
          <w:sz w:val="28"/>
          <w:szCs w:val="28"/>
          <w:lang w:eastAsia="ru-RU"/>
        </w:rPr>
        <w:t xml:space="preserve">проходят социальную адаптацию на первом рабочем месте. В 2020 году на временные рабочие места было трудоустроено 33 выпускника. Из общего количества участников  женщины составили 58% (19 человек), жители сельской местности – 39%              (13 человек). </w:t>
      </w:r>
      <w:r>
        <w:rPr>
          <w:rFonts w:ascii="Times New Roman" w:hAnsi="Times New Roman" w:cs="Times New Roman" w:eastAsiaTheme="minorHAnsi"/>
          <w:sz w:val="28"/>
          <w:szCs w:val="28"/>
          <w:shd w:val="clear" w:fill="FFFFFF" w:color="auto"/>
          <w:lang w:eastAsia="ru-RU"/>
        </w:rPr>
        <w:t xml:space="preserve">Соискателям из числа выпускников с профобразованием предлагаются варианты занятости: </w:t>
      </w:r>
      <w:r>
        <w:rPr>
          <w:rFonts w:ascii="Times New Roman" w:hAnsi="Times New Roman" w:cs="Times New Roman" w:eastAsiaTheme="minorHAnsi"/>
          <w:sz w:val="28"/>
          <w:szCs w:val="28"/>
          <w:lang w:eastAsia="ru-RU"/>
        </w:rPr>
        <w:t xml:space="preserve">трудоустройство на вакансии, зая</w:t>
      </w:r>
      <w:r>
        <w:rPr>
          <w:rFonts w:ascii="Times New Roman" w:hAnsi="Times New Roman" w:cs="Times New Roman" w:eastAsiaTheme="minorHAnsi"/>
          <w:sz w:val="28"/>
          <w:szCs w:val="28"/>
          <w:lang w:eastAsia="ru-RU"/>
        </w:rPr>
        <w:t xml:space="preserve">вленные работодателями в центр занятости; трудоустройство на временные рабочие места в рамках стажировки на предприятиях и в организациях города; организация собственного дела при содействии центра занятости; трудоустройство с переездом в другую местность.</w:t>
      </w:r>
      <w:r>
        <w:rPr>
          <w:rFonts w:eastAsiaTheme="minorHAnsi"/>
        </w:rPr>
      </w:r>
    </w:p>
    <w:p>
      <w:pPr>
        <w:ind w:firstLine="709"/>
        <w:jc w:val="both"/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sz w:val="28"/>
          <w:szCs w:val="28"/>
          <w:shd w:val="clear" w:fill="FFFFFF" w:color="auto"/>
          <w:lang w:eastAsia="ru-RU"/>
        </w:rPr>
      </w:pPr>
      <w:r>
        <w:rPr>
          <w:rFonts w:ascii="Times New Roman" w:hAnsi="Times New Roman" w:cs="Times New Roman" w:eastAsiaTheme="minorHAnsi"/>
          <w:sz w:val="28"/>
          <w:szCs w:val="28"/>
          <w:shd w:val="clear" w:fill="FFFFFF" w:color="auto"/>
          <w:lang w:eastAsia="ru-RU"/>
        </w:rPr>
        <w:t xml:space="preserve">В ситуации, когда нет возможности подобрать подходящую работу </w:t>
      </w:r>
      <w:r>
        <w:rPr>
          <w:rFonts w:ascii="Times New Roman" w:hAnsi="Times New Roman" w:cs="Times New Roman" w:eastAsiaTheme="minorHAnsi"/>
          <w:sz w:val="28"/>
          <w:szCs w:val="28"/>
          <w:shd w:val="clear" w:fill="FFFFFF" w:color="auto"/>
          <w:lang w:eastAsia="ru-RU"/>
        </w:rPr>
        <w:t xml:space="preserve">               по имеющейся профессии по какой-либо причине или профессия выпускника не востребована работодателями, центр занятости предлагает пройти профессиональное обучение или получить дополнительное профессиональное образование на бесплатной основе. </w:t>
      </w:r>
      <w:r>
        <w:rPr>
          <w:rFonts w:eastAsiaTheme="minorHAnsi"/>
        </w:rPr>
      </w:r>
    </w:p>
    <w:p>
      <w:pPr>
        <w:ind w:firstLine="709"/>
        <w:jc w:val="both"/>
        <w:spacing w:lineRule="auto" w:line="240" w:after="0"/>
        <w:shd w:val="clear" w:fill="FFFFFF" w:color="auto"/>
        <w:rPr>
          <w:rStyle w:val="921"/>
          <w:rFonts w:ascii="Times New Roman" w:hAnsi="Times New Roman" w:cs="Times New Roman"/>
          <w:sz w:val="28"/>
          <w:szCs w:val="28"/>
          <w:shd w:val="clear" w:fill="FFFFFF" w:color="auto"/>
        </w:rPr>
      </w:pPr>
      <w:r>
        <w:rPr>
          <w:rFonts w:ascii="Times New Roman" w:hAnsi="Times New Roman" w:cs="Times New Roman" w:eastAsiaTheme="minorHAnsi"/>
          <w:sz w:val="28"/>
          <w:szCs w:val="28"/>
          <w:shd w:val="clear" w:fill="FFFFFF" w:color="auto"/>
          <w:lang w:eastAsia="ru-RU"/>
        </w:rPr>
        <w:t xml:space="preserve">С 2011 года работает </w:t>
      </w:r>
      <w:r>
        <w:rPr>
          <w:rFonts w:ascii="Times New Roman" w:hAnsi="Times New Roman" w:cs="Times New Roman" w:eastAsiaTheme="minorHAnsi"/>
          <w:sz w:val="28"/>
          <w:szCs w:val="28"/>
          <w:shd w:val="clear" w:fill="FFFFFF" w:color="auto"/>
        </w:rPr>
        <w:t xml:space="preserve"> «молодежное правительство» Иркутской области, состав которого формируется на конкурсной основе сроком на два года. Молодые люди работают по принципу «</w:t>
      </w:r>
      <w:r>
        <w:rPr>
          <w:rFonts w:ascii="Times New Roman" w:hAnsi="Times New Roman" w:cs="Times New Roman" w:eastAsiaTheme="minorHAnsi"/>
          <w:sz w:val="28"/>
          <w:szCs w:val="28"/>
          <w:shd w:val="clear" w:fill="FFFFFF" w:color="auto"/>
        </w:rPr>
        <w:t xml:space="preserve">дублерства</w:t>
      </w:r>
      <w:r>
        <w:rPr>
          <w:rFonts w:ascii="Times New Roman" w:hAnsi="Times New Roman" w:cs="Times New Roman" w:eastAsiaTheme="minorHAnsi"/>
          <w:sz w:val="28"/>
          <w:szCs w:val="28"/>
          <w:shd w:val="clear" w:fill="FFFFFF" w:color="auto"/>
        </w:rPr>
        <w:t xml:space="preserve">» профильных областных министров. Куратором деятельности молодежного правительства является </w:t>
      </w:r>
      <w:hyperlink r:id="rId21" w:tooltip="http://mmp38.ru/" w:history="1">
        <w:r>
          <w:rPr>
            <w:rStyle w:val="922"/>
            <w:rFonts w:ascii="Times New Roman" w:hAnsi="Times New Roman" w:eastAsiaTheme="minorHAnsi"/>
            <w:color w:val="auto"/>
            <w:sz w:val="28"/>
            <w:szCs w:val="28"/>
            <w:u w:val="none"/>
            <w:shd w:val="clear" w:fill="FFFFFF" w:color="auto"/>
          </w:rPr>
          <w:t xml:space="preserve">министерство по молодежной политике области</w:t>
        </w:r>
      </w:hyperlink>
      <w:r>
        <w:rPr>
          <w:rFonts w:ascii="Times New Roman" w:hAnsi="Times New Roman" w:cs="Times New Roman" w:eastAsiaTheme="minorHAnsi"/>
          <w:sz w:val="28"/>
          <w:szCs w:val="28"/>
          <w:shd w:val="clear" w:fill="FFFFFF" w:color="auto"/>
        </w:rPr>
        <w:t xml:space="preserve">.</w:t>
      </w:r>
      <w:r>
        <w:rPr>
          <w:rStyle w:val="921"/>
          <w:rFonts w:ascii="Times New Roman" w:hAnsi="Times New Roman" w:cs="Times New Roman" w:eastAsiaTheme="minorHAnsi"/>
          <w:sz w:val="28"/>
          <w:szCs w:val="28"/>
          <w:shd w:val="clear" w:fill="FFFFFF" w:color="auto"/>
        </w:rPr>
        <w:t xml:space="preserve"> </w:t>
      </w:r>
      <w:r>
        <w:rPr>
          <w:rFonts w:eastAsiaTheme="minorHAnsi"/>
        </w:rPr>
      </w:r>
    </w:p>
    <w:p>
      <w:pPr>
        <w:ind w:firstLine="709"/>
        <w:jc w:val="both"/>
        <w:spacing w:lineRule="auto" w:line="240" w:after="0"/>
        <w:shd w:val="clear" w:fill="FFFFFF" w:color="auto"/>
        <w:rPr>
          <w:rFonts w:ascii="Times New Roman" w:hAnsi="Times New Roman" w:cs="Times New Roman"/>
          <w:sz w:val="28"/>
          <w:szCs w:val="28"/>
          <w:shd w:val="clear" w:fill="FFFFFF" w:color="auto"/>
        </w:rPr>
      </w:pPr>
      <w:r>
        <w:rPr>
          <w:rFonts w:ascii="Times New Roman" w:hAnsi="Times New Roman" w:cs="Times New Roman" w:eastAsiaTheme="minorHAnsi"/>
          <w:sz w:val="28"/>
          <w:szCs w:val="28"/>
          <w:shd w:val="clear" w:fill="FFFFFF" w:color="auto"/>
        </w:rPr>
        <w:t xml:space="preserve">Члены «правительства» выступают соавторами законотворческих инициатив, </w:t>
      </w:r>
      <w:r>
        <w:rPr>
          <w:rFonts w:ascii="Times New Roman" w:hAnsi="Times New Roman" w:cs="Times New Roman" w:eastAsiaTheme="minorHAnsi"/>
          <w:sz w:val="28"/>
          <w:szCs w:val="28"/>
          <w:shd w:val="clear" w:fill="FFFFFF" w:color="auto"/>
        </w:rPr>
        <w:t xml:space="preserve">соорганизаторами</w:t>
      </w:r>
      <w:r>
        <w:rPr>
          <w:rFonts w:ascii="Times New Roman" w:hAnsi="Times New Roman" w:cs="Times New Roman" w:eastAsiaTheme="minorHAnsi"/>
          <w:sz w:val="28"/>
          <w:szCs w:val="28"/>
          <w:shd w:val="clear" w:fill="FFFFFF" w:color="auto"/>
        </w:rPr>
        <w:t xml:space="preserve"> и волонтерами на мероприятиях, проводимых исполнительными органами государственной власти, а также сторонними организациями;</w:t>
      </w:r>
      <w:r>
        <w:rPr>
          <w:rStyle w:val="921"/>
          <w:rFonts w:ascii="Times New Roman" w:hAnsi="Times New Roman" w:cs="Times New Roman" w:eastAsiaTheme="minorHAnsi"/>
          <w:sz w:val="28"/>
          <w:szCs w:val="28"/>
          <w:shd w:val="clear" w:fill="FFFFFF" w:color="auto"/>
        </w:rPr>
        <w:t xml:space="preserve"> </w:t>
      </w:r>
      <w:r>
        <w:rPr>
          <w:rFonts w:ascii="Times New Roman" w:hAnsi="Times New Roman" w:cs="Times New Roman" w:eastAsiaTheme="minorHAnsi"/>
          <w:sz w:val="28"/>
          <w:szCs w:val="28"/>
          <w:shd w:val="clear" w:fill="FFFFFF" w:color="auto"/>
        </w:rPr>
        <w:t xml:space="preserve">подготавливают информационные материалы по вопросам молодежи, а также иной аналитической информации в рамках своих компетенций для публикаций в СМИ, научных журналах, социальных сетях, для использования в законотворчестве. </w:t>
      </w:r>
      <w:r>
        <w:rPr>
          <w:rFonts w:ascii="Times New Roman" w:hAnsi="Times New Roman" w:cs="Times New Roman" w:eastAsiaTheme="minorHAnsi"/>
          <w:sz w:val="28"/>
          <w:szCs w:val="28"/>
          <w:shd w:val="clear" w:fill="FFFFFF" w:color="auto"/>
        </w:rPr>
        <w:t xml:space="preserve">Они оказывают информационное, организационное и консультационное содействие молодежи в реализации социальных проектов, проводят обучающие семинары, тренинги, лекции, классные часы, </w:t>
      </w:r>
      <w:r>
        <w:rPr>
          <w:rFonts w:ascii="Times New Roman" w:hAnsi="Times New Roman" w:cs="Times New Roman" w:eastAsiaTheme="minorHAnsi"/>
          <w:sz w:val="28"/>
          <w:szCs w:val="28"/>
          <w:shd w:val="clear" w:fill="FFFFFF" w:color="auto"/>
        </w:rPr>
        <w:t xml:space="preserve">квесты</w:t>
      </w:r>
      <w:r>
        <w:rPr>
          <w:rFonts w:ascii="Times New Roman" w:hAnsi="Times New Roman" w:cs="Times New Roman" w:eastAsiaTheme="minorHAnsi"/>
          <w:sz w:val="28"/>
          <w:szCs w:val="28"/>
          <w:shd w:val="clear" w:fill="FFFFFF" w:color="auto"/>
        </w:rPr>
        <w:t xml:space="preserve">, субботники, экскурсии, спартакиады и т.п.), в т.ч.                за счет </w:t>
      </w:r>
      <w:r>
        <w:rPr>
          <w:rFonts w:ascii="Times New Roman" w:hAnsi="Times New Roman" w:cs="Times New Roman" w:eastAsiaTheme="minorHAnsi"/>
          <w:sz w:val="28"/>
          <w:szCs w:val="28"/>
          <w:shd w:val="clear" w:fill="FFFFFF" w:color="auto"/>
        </w:rPr>
        <w:t xml:space="preserve">грантовых</w:t>
      </w:r>
      <w:r>
        <w:rPr>
          <w:rFonts w:ascii="Times New Roman" w:hAnsi="Times New Roman" w:cs="Times New Roman" w:eastAsiaTheme="minorHAnsi"/>
          <w:sz w:val="28"/>
          <w:szCs w:val="28"/>
          <w:shd w:val="clear" w:fill="FFFFFF" w:color="auto"/>
        </w:rPr>
        <w:t xml:space="preserve"> средств.</w:t>
      </w:r>
      <w:r>
        <w:rPr>
          <w:rFonts w:eastAsiaTheme="minorHAnsi"/>
        </w:rPr>
      </w:r>
    </w:p>
    <w:p>
      <w:pPr>
        <w:ind w:firstLine="709"/>
        <w:jc w:val="both"/>
        <w:spacing w:lineRule="auto" w:line="240" w:after="0"/>
        <w:shd w:val="clear" w:fill="FFFFFF" w:color="auto"/>
        <w:rPr>
          <w:rFonts w:ascii="Times New Roman" w:hAnsi="Times New Roman" w:cs="Times New Roman"/>
          <w:sz w:val="28"/>
          <w:szCs w:val="28"/>
          <w:shd w:val="clear" w:fill="FFFFFF" w:color="auto"/>
        </w:rPr>
      </w:pPr>
      <w:r>
        <w:rPr>
          <w:rFonts w:ascii="Times New Roman" w:hAnsi="Times New Roman" w:cs="Times New Roman" w:eastAsiaTheme="minorHAnsi"/>
          <w:sz w:val="28"/>
          <w:szCs w:val="28"/>
          <w:shd w:val="clear" w:fill="FFFFFF" w:color="auto"/>
        </w:rPr>
      </w:r>
      <w:r>
        <w:rPr>
          <w:rFonts w:eastAsiaTheme="minorHAnsi"/>
        </w:rPr>
      </w:r>
    </w:p>
    <w:p>
      <w:pPr>
        <w:jc w:val="center"/>
        <w:spacing w:lineRule="auto" w:line="24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eastAsiaTheme="minorHAnsi"/>
          <w:b/>
          <w:sz w:val="28"/>
          <w:szCs w:val="28"/>
        </w:rPr>
        <w:t xml:space="preserve">Кемеровская область</w:t>
      </w:r>
      <w:r>
        <w:rPr>
          <w:rFonts w:eastAsiaTheme="minorHAnsi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Государственная программа «Содействие занятости населения Кузбасса на 2014-2024» предусматривает организацию стажировки выпускников образовательных организаций в целях приоб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ретения ими опыта работы, повышение уровня занятости выпускников образовательных организаций, обеспечения кадрами экономики Кузбасса и организацию сопровождаемого содействия занятости инвалидов молодого возраста                      с участием наставников.</w:t>
      </w:r>
      <w:r>
        <w:rPr>
          <w:rFonts w:eastAsiaTheme="minorHAnsi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Согласно проведенному в 2013 году социологическому исследованию "Образ жизни и социальные проблемы молодежи" проблемы молодежи сосредоточены вокруг проблем занятости и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социо-культурного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 развития,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связанных, прежде всего, с безработицей, экономическими барьерами                         в получении образования и жилищными условиями.</w:t>
      </w:r>
      <w:r>
        <w:rPr>
          <w:rFonts w:eastAsiaTheme="minorHAnsi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Calibri"/>
          <w:sz w:val="28"/>
          <w:szCs w:val="28"/>
          <w:lang w:bidi="ru-RU" w:eastAsia="ru-RU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В 2020 году ч</w:t>
      </w:r>
      <w:r>
        <w:rPr>
          <w:rFonts w:ascii="Times New Roman" w:hAnsi="Times New Roman" w:cs="Times New Roman" w:eastAsiaTheme="minorHAnsi"/>
          <w:spacing w:val="-4"/>
          <w:sz w:val="28"/>
          <w:szCs w:val="28"/>
          <w:lang w:bidi="ru-RU" w:eastAsia="ru-RU"/>
        </w:rPr>
        <w:t xml:space="preserve">исленность прошедших переобучение и повышение квалификации женщин </w:t>
      </w:r>
      <w:r>
        <w:rPr>
          <w:rFonts w:ascii="Times New Roman" w:hAnsi="Times New Roman" w:cs="Times New Roman" w:eastAsiaTheme="minorHAnsi"/>
          <w:spacing w:val="-4"/>
          <w:sz w:val="28"/>
          <w:szCs w:val="28"/>
          <w:lang w:bidi="ru-RU" w:eastAsia="ru-RU"/>
        </w:rPr>
        <w:t xml:space="preserve">в период отпуска по уходу за ребенком в возрасте                 до трех лет</w:t>
      </w:r>
      <w:r>
        <w:rPr>
          <w:rFonts w:ascii="Times New Roman" w:hAnsi="Times New Roman" w:cs="Times New Roman" w:eastAsiaTheme="minorHAnsi"/>
          <w:spacing w:val="-4"/>
          <w:sz w:val="28"/>
          <w:szCs w:val="28"/>
          <w:lang w:bidi="ru-RU" w:eastAsia="ru-RU"/>
        </w:rPr>
        <w:t xml:space="preserve">, а также женщин, имеющих детей дошкольного возраста,                          не состоящих в трудовых отношениях и обратившихся в органы службы занятости, составило 230 человек при плане 121. При этом около 90% из них</w:t>
      </w:r>
      <w:r>
        <w:rPr>
          <w:rFonts w:ascii="Times New Roman" w:hAnsi="Times New Roman" w:cs="Times New Roman" w:eastAsiaTheme="minorHAnsi"/>
          <w:sz w:val="28"/>
          <w:szCs w:val="28"/>
          <w:lang w:bidi="ru-RU" w:eastAsia="ru-RU"/>
        </w:rPr>
        <w:t xml:space="preserve"> приступили к трудовой деятельности. </w:t>
      </w:r>
      <w:r>
        <w:rPr>
          <w:rFonts w:eastAsiaTheme="minorHAnsi"/>
        </w:rPr>
      </w:r>
    </w:p>
    <w:p>
      <w:pPr>
        <w:pStyle w:val="928"/>
        <w:ind w:firstLine="709"/>
        <w:jc w:val="center"/>
        <w:spacing w:after="0" w:afterAutospacing="0" w:before="0" w:beforeAutospacing="0"/>
        <w:rPr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</w:r>
      <w:r>
        <w:rPr>
          <w:rFonts w:eastAsiaTheme="minorHAnsi"/>
        </w:rPr>
      </w:r>
    </w:p>
    <w:p>
      <w:pPr>
        <w:pStyle w:val="928"/>
        <w:ind w:firstLine="709"/>
        <w:jc w:val="center"/>
        <w:spacing w:after="0" w:afterAutospacing="0" w:before="0" w:beforeAutospacing="0"/>
        <w:rPr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 xml:space="preserve">Томская область</w:t>
      </w:r>
      <w:r>
        <w:rPr>
          <w:rFonts w:eastAsiaTheme="minorHAnsi"/>
        </w:rPr>
      </w:r>
    </w:p>
    <w:p>
      <w:pPr>
        <w:ind w:right="-1" w:firstLine="709"/>
        <w:jc w:val="both"/>
        <w:spacing w:lineRule="auto" w:line="240" w:after="0"/>
        <w:rPr>
          <w:rFonts w:ascii="Times New Roman" w:hAnsi="Times New Roman" w:cs="Times New Roman" w:eastAsia="Calibri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Мероприятия по содействию занятости молодежи осуществляются Департаментом труда и занятости населения области во взаимодействии   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               с центрами содействия трудоустройству выпускников организаций профессионального образования. В качестве превентивной меры реализуются  дни карьеры и мастер-классы по составлению эффективного резюме, отработке навыков активного поиска работы.</w:t>
      </w:r>
      <w:r>
        <w:rPr>
          <w:rFonts w:eastAsiaTheme="minorHAnsi"/>
        </w:rPr>
      </w:r>
    </w:p>
    <w:p>
      <w:pPr>
        <w:ind w:right="-1" w:firstLine="709"/>
        <w:jc w:val="both"/>
        <w:spacing w:lineRule="auto" w:line="240" w:after="0"/>
        <w:rPr>
          <w:rFonts w:ascii="Times New Roman" w:hAnsi="Times New Roman" w:cs="Times New Roman" w:eastAsia="Calibri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Выпускникам образовательных организаций предоставляются услуги              по социальной адаптации и психологической поддержке в целях повышения мотивации при поиске подходящей работы, обучения самостоятельному поиску работы и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самопрезентации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 при собеседовании с работодателем.</w:t>
      </w:r>
      <w:r>
        <w:rPr>
          <w:rFonts w:eastAsiaTheme="minorHAnsi"/>
        </w:rPr>
      </w:r>
    </w:p>
    <w:p>
      <w:pPr>
        <w:ind w:right="-1"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Организуются стажировки выпускников образовательных учреждений                 в целях приобретения ими опыта работы.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 Эта мера государственной поддержки пользуется большой популярностью, так как позволяет выпускникам приобрести практический опыт и закрепиться на рабочих местах. В этих целях формируется база стажировок через сервис информационно-аналитической системы порт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ал «Работа в России», организовано взаимодействие с более чем тысяча работодателей.                            На 01.01.2019 были актуальны более 500 вакансий для студентов                          и выпускников профессиональных образовательных учреждений.</w:t>
      </w:r>
      <w:r>
        <w:rPr>
          <w:rFonts w:eastAsiaTheme="minorHAnsi"/>
        </w:rPr>
      </w:r>
    </w:p>
    <w:p>
      <w:pPr>
        <w:pStyle w:val="920"/>
        <w:ind w:left="0" w:right="-1" w:firstLine="709"/>
        <w:jc w:val="both"/>
        <w:spacing w:lineRule="auto" w:line="240" w:after="0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  <w:lang w:eastAsia="ru-RU"/>
        </w:rPr>
        <w:t xml:space="preserve">Главный механизм по развитию трудовых ресурсов – проведение профессионального обучения безработной молодежи многим востребованным на рынке труда профессиям. </w:t>
      </w:r>
      <w:r>
        <w:rPr>
          <w:rFonts w:eastAsiaTheme="minorHAnsi"/>
        </w:rPr>
      </w:r>
    </w:p>
    <w:p>
      <w:pPr>
        <w:ind w:right="-1"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С 2017 года Томская область участвует во Всероссийской акции «Неделя без турникетов» (часть федерального масштабного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профориентационного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 проекта «Работай в России»), в процессе которой учащиеся знакомятся с работой организаций (свыше двухсот) в формате экскурсий, уроков профориентации и мастер-классов. В рамках «Недели                без турникетов» организовано более 100 мероприятий: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профориентационные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 игры,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квесты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, мастер-классы, классные часы, тестирование, встречи                         с успешными представителями профессий и предпринимателями, в которых ежегодно более 3 тыс. участников. С 2018 года в области проводится сетевой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профориентационный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 проект «IT-старт» для школьников 8-10 классов,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квест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 для 8 классов и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хакатон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 для 11-классников. Реализуются мероприятия                     по временному трудоустройству подростков в свободное от учебы время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(ежегодно более 5 тыс.).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Бойцы студенческих отрядов на летний период) принимаются в «Центр социальных инициатив» на временные ставки                       по направлению «Рабочие по благоустройству» и «Специалист по работе                 с молодежью» - 200 ставок.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 Расходы на питание, проживание, спецодежду, инструмент и прочий инвентарь несет работодатель. </w:t>
      </w:r>
      <w:r>
        <w:rPr>
          <w:rFonts w:eastAsiaTheme="minorHAnsi"/>
        </w:rPr>
      </w:r>
    </w:p>
    <w:p>
      <w:pPr>
        <w:ind w:right="-1"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 w:eastAsiaTheme="minorHAnsi"/>
          <w:sz w:val="28"/>
          <w:szCs w:val="26"/>
        </w:rPr>
        <w:t xml:space="preserve">В рамках программы «Томск - месторождение успеха»: ежегодная организация регионального </w:t>
      </w:r>
      <w:r>
        <w:rPr>
          <w:rFonts w:ascii="Times New Roman" w:hAnsi="Times New Roman" w:cs="Times New Roman" w:eastAsiaTheme="minorHAnsi"/>
          <w:sz w:val="28"/>
          <w:szCs w:val="26"/>
        </w:rPr>
        <w:t xml:space="preserve">бизнес-лагеря</w:t>
      </w:r>
      <w:r>
        <w:rPr>
          <w:rFonts w:ascii="Times New Roman" w:hAnsi="Times New Roman" w:cs="Times New Roman" w:eastAsiaTheme="minorHAnsi"/>
          <w:sz w:val="28"/>
          <w:szCs w:val="26"/>
        </w:rPr>
        <w:t xml:space="preserve"> для молодых предпринимателей; участие </w:t>
      </w:r>
      <w:r>
        <w:rPr>
          <w:rFonts w:ascii="Times New Roman" w:hAnsi="Times New Roman" w:cs="Times New Roman" w:eastAsiaTheme="minorHAnsi"/>
          <w:sz w:val="28"/>
          <w:szCs w:val="26"/>
        </w:rPr>
        <w:t xml:space="preserve">предпринимателей-томичей</w:t>
      </w:r>
      <w:r>
        <w:rPr>
          <w:rFonts w:ascii="Times New Roman" w:hAnsi="Times New Roman" w:cs="Times New Roman" w:eastAsiaTheme="minorHAnsi"/>
          <w:sz w:val="28"/>
          <w:szCs w:val="26"/>
        </w:rPr>
        <w:t xml:space="preserve"> в межрегиональных и международных форумах, стажировках в ведущих организациях Российской Федерации                  и за рубежом (предоставление субсидий), а также семинары, тренинги т.п.</w:t>
      </w:r>
      <w:r>
        <w:rPr>
          <w:rFonts w:eastAsiaTheme="minorHAnsi"/>
        </w:rPr>
      </w:r>
    </w:p>
    <w:p>
      <w:pPr>
        <w:ind w:right="-1" w:firstLine="709"/>
        <w:jc w:val="both"/>
        <w:spacing w:lineRule="auto" w:line="240"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 w:eastAsiaTheme="minorHAnsi"/>
          <w:sz w:val="28"/>
          <w:szCs w:val="26"/>
        </w:rPr>
        <w:t xml:space="preserve">Движение студенческих отрядов Томской области (прежде всего производственных) уже много десятилетий является визитной карточкой региона.</w:t>
      </w:r>
      <w:r>
        <w:rPr>
          <w:rFonts w:eastAsiaTheme="minorHAnsi"/>
        </w:rPr>
      </w:r>
    </w:p>
    <w:p>
      <w:pPr>
        <w:ind w:right="-1" w:firstLine="567"/>
        <w:jc w:val="both"/>
        <w:spacing w:lineRule="auto" w:line="240"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 w:eastAsiaTheme="minorHAnsi"/>
          <w:sz w:val="32"/>
          <w:szCs w:val="28"/>
        </w:rPr>
      </w:r>
      <w:r>
        <w:rPr>
          <w:rFonts w:eastAsiaTheme="minorHAnsi"/>
        </w:rPr>
      </w:r>
    </w:p>
    <w:p>
      <w:pPr>
        <w:ind w:right="-851"/>
        <w:jc w:val="center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eastAsiaTheme="minorHAnsi"/>
        </w:rPr>
      </w:r>
      <w:hyperlink r:id="rId22" w:tooltip="https://ru.wikipedia.org/wiki/%D0%A4%D0%B5%D0%B4%D0%B5%D1%80%D0%B0%D0%BB%D1%8C%D0%BD%D1%8B%D0%B5_%D0%BE%D0%BA%D1%80%D1%83%D0%B3%D0%B0_%D0%A0%D0%BE%D1%81%D1%81%D0%B8%D0%B9%D1%81%D0%BA%D0%BE%D0%B9_%D0%A4%D0%B5%D0%B4%D0%B5%D1%80%D0%B0%D1%86%D0%B8%D0%B8#%D0%94%D0%" w:anchor="%D0%94%D0%B0%D0%BB%D1%8C%D0%BD%D0%B5%D0%B2%D0%BE%D1%81%D1%82%D0%BE%D1%87%D0%BD%D1%8B%D0%B9" w:history="1">
        <w:r>
          <w:rPr>
            <w:rStyle w:val="922"/>
            <w:rFonts w:ascii="Times New Roman" w:hAnsi="Times New Roman" w:eastAsiaTheme="minorHAnsi"/>
            <w:color w:val="auto"/>
            <w:sz w:val="28"/>
            <w:szCs w:val="28"/>
            <w:u w:val="none"/>
          </w:rPr>
          <w:t xml:space="preserve">ДАЛЬНЕВОСТОЧНЫЙ</w:t>
        </w:r>
      </w:hyperlink>
      <w:r>
        <w:rPr>
          <w:rFonts w:ascii="Times New Roman" w:hAnsi="Times New Roman" w:cs="Times New Roman" w:eastAsiaTheme="minorHAnsi"/>
          <w:sz w:val="28"/>
          <w:szCs w:val="28"/>
          <w:lang w:eastAsia="ru-RU"/>
        </w:rPr>
        <w:t xml:space="preserve"> ФЕДЕРАЛЬНЫЙ ОКРУГ</w:t>
      </w:r>
      <w:r>
        <w:rPr>
          <w:rFonts w:eastAsiaTheme="minorHAnsi"/>
        </w:rPr>
      </w:r>
    </w:p>
    <w:p>
      <w:pPr>
        <w:pStyle w:val="925"/>
        <w:jc w:val="center"/>
        <w:spacing w:after="0" w:afterAutospacing="0" w:before="0" w:beforeAutospacing="0"/>
        <w:shd w:val="clear" w:fill="FFFFFF" w:color="auto"/>
        <w:rPr>
          <w:sz w:val="28"/>
          <w:szCs w:val="28"/>
        </w:rPr>
      </w:pPr>
      <w:r>
        <w:rPr>
          <w:rFonts w:eastAsiaTheme="minorHAnsi"/>
          <w:b/>
          <w:sz w:val="28"/>
          <w:szCs w:val="28"/>
        </w:rPr>
        <w:t xml:space="preserve">Приморский край</w:t>
      </w:r>
      <w:r>
        <w:rPr>
          <w:rFonts w:eastAsiaTheme="minorHAnsi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Молодежь в Приморье составляет 16,8 % (свыше 324 тыс.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человек)                      от общей численности населения края.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Реализацию государственной молодежной политики проводит Департамент по делам молодежи Приморского края, включая проект по поддержке молодых специалистов                 на предприятиях и организациях края.</w:t>
      </w:r>
      <w:r>
        <w:rPr>
          <w:rFonts w:eastAsiaTheme="minorHAnsi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В 2021 году будет проведен отбор 100 вакантных должностей                       на предприяти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ях региона, относящихся к приоритетным социально – значимым отраслям экономики, для обеспечения конкурса среди молодых специалистов, закончивших профессиональные образовательные учреждения в этом или прошедшем учебном году и желающих занять эти должности. </w:t>
      </w:r>
      <w:r>
        <w:rPr>
          <w:rFonts w:eastAsiaTheme="minorHAnsi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</w:r>
      <w:r>
        <w:rPr>
          <w:rFonts w:eastAsiaTheme="minorHAnsi"/>
        </w:rPr>
      </w:r>
    </w:p>
    <w:p>
      <w:pPr>
        <w:jc w:val="center"/>
        <w:spacing w:lineRule="auto" w:line="240" w:after="0"/>
        <w:rPr>
          <w:rFonts w:ascii="Times New Roman" w:hAnsi="Times New Roman" w:cs="Times New Roman" w:eastAsia="Calibri"/>
          <w:b/>
          <w:sz w:val="28"/>
          <w:szCs w:val="28"/>
        </w:rPr>
      </w:pPr>
      <w:r>
        <w:rPr>
          <w:rFonts w:ascii="Times New Roman" w:hAnsi="Times New Roman" w:cs="Times New Roman" w:eastAsiaTheme="minorHAnsi"/>
          <w:b/>
          <w:sz w:val="28"/>
          <w:szCs w:val="28"/>
        </w:rPr>
        <w:t xml:space="preserve">Красноармейский район Приморского края</w:t>
      </w:r>
      <w:r>
        <w:rPr>
          <w:rFonts w:eastAsiaTheme="minorHAnsi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 w:eastAsia="Calibri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В 2020 году численность граждан, получивших услуги                                    по профориентации составила 32967 человек, в т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ом числе, в возрасте                 14-29 лет - 7692 человека. Местное отделение «Приморского центра занятости населения» совместно с органами образования организовали ярмарки учебных мест или дни профориентации, в которых приняли участие 516 школьников.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Для выпускников профессиональных учебных заведений организуется акция «Карьера», во время которой молодых специалистов обучают технологии построения карьеры. За 2020 год акции «Карьеры» прошли в 3 городах и районах края, в них приняли участие 334 человека.</w:t>
      </w:r>
      <w:r>
        <w:rPr>
          <w:rFonts w:eastAsiaTheme="minorHAnsi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 w:eastAsia="Calibri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 В Красноармейском районе в мае 2021 года была проведена ярмарка вакансий для граждан в возрасте от 14 до 18 лет. Ярмарка проводилась                      в отделении центра занятости населения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с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.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Новопокровка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, в ней приняли  участие учащиеся школ №11 с. Рощино и №24 с. Богуславец. Работодателями была заявлена вакансия: «Подсобный рабочий». 15 из 17 посетивших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ярмарку и встретившихся с работодателями несовершеннолетних граждан были трудоустроены. </w:t>
      </w:r>
      <w:r>
        <w:rPr>
          <w:rFonts w:eastAsiaTheme="minorHAnsi"/>
        </w:rPr>
      </w:r>
    </w:p>
    <w:p>
      <w:pPr>
        <w:ind w:right="-851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 w:eastAsiaTheme="minorHAnsi"/>
          <w:sz w:val="28"/>
          <w:szCs w:val="28"/>
          <w:lang w:eastAsia="ru-RU"/>
        </w:rPr>
      </w:r>
      <w:r>
        <w:rPr>
          <w:rFonts w:eastAsiaTheme="minorHAnsi"/>
        </w:rPr>
      </w:r>
    </w:p>
    <w:p>
      <w:pPr>
        <w:ind w:right="-851"/>
        <w:jc w:val="center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Theme="minorHAnsi"/>
          <w:sz w:val="28"/>
          <w:szCs w:val="28"/>
          <w:lang w:eastAsia="ru-RU"/>
        </w:rPr>
        <w:t xml:space="preserve">СЕВЕРО-КАВКАЗСКИЙ</w:t>
      </w:r>
      <w:r>
        <w:rPr>
          <w:rFonts w:ascii="Times New Roman" w:hAnsi="Times New Roman" w:cs="Times New Roman" w:eastAsiaTheme="minorHAnsi"/>
          <w:sz w:val="28"/>
          <w:szCs w:val="28"/>
          <w:lang w:eastAsia="ru-RU"/>
        </w:rPr>
        <w:t xml:space="preserve"> ФЕДЕРАЛЬНЫЙ ОКРУГ</w:t>
      </w:r>
      <w:r>
        <w:rPr>
          <w:rFonts w:eastAsiaTheme="minorHAnsi"/>
        </w:rPr>
      </w:r>
    </w:p>
    <w:p>
      <w:pPr>
        <w:jc w:val="center"/>
        <w:spacing w:lineRule="auto" w:line="24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eastAsiaTheme="minorHAnsi"/>
          <w:b/>
          <w:sz w:val="28"/>
          <w:szCs w:val="28"/>
        </w:rPr>
        <w:t xml:space="preserve">Ставропольский край</w:t>
      </w:r>
      <w:r>
        <w:rPr>
          <w:rFonts w:eastAsiaTheme="minorHAnsi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С 2005 года здесь действует закон "О молодежной политике                             в Ставропольском крае", который неоднократно дополнялся актуальными положениями и задачами в сфере труда и занятости молодежи.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В их числе: разработка и реализация программ содействия занятости молодежи; координация и поддержка деятельности молодежных бирж труда, центров содействия занятости молодежи; создание базовых условий для реализации предпринимательского потенциала молодежи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; поддержка движения студенческих отрядов, молодежных трудовых отрядов и производственных бригад; приобретение безработной молодежью, не имеющей профессиональной подготовки, специальностей, необходимых                              для Ставропольского края.</w:t>
      </w:r>
      <w:r>
        <w:rPr>
          <w:rFonts w:eastAsiaTheme="minorHAnsi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</w:rPr>
        <w:t xml:space="preserve">Вовлечение молодежи в социальную практику, содействие ее занятости  и предпринимательской активности – среди основных направлений краевого Центра молодежных проектов.</w:t>
      </w:r>
      <w:r>
        <w:rPr>
          <w:rFonts w:eastAsiaTheme="minorHAnsi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eastAsiaTheme="minorHAnsi"/>
          <w:sz w:val="28"/>
        </w:rPr>
        <w:t xml:space="preserve">Северо</w:t>
      </w:r>
      <w:r>
        <w:rPr>
          <w:rFonts w:ascii="Times New Roman" w:hAnsi="Times New Roman" w:cs="Times New Roman" w:eastAsiaTheme="minorHAnsi"/>
          <w:sz w:val="28"/>
        </w:rPr>
        <w:t xml:space="preserve"> - Кавказский Федеральный университет, являясь крупнейшим  вузом региона, реализует социальную поддержку молодёжи, особенно талантливой, содействует молодёжному предпринимательству. </w:t>
      </w:r>
      <w:r>
        <w:rPr>
          <w:rFonts w:eastAsiaTheme="minorHAnsi"/>
        </w:rPr>
      </w:r>
    </w:p>
    <w:p>
      <w:pPr>
        <w:ind w:firstLine="708"/>
        <w:jc w:val="both"/>
        <w:spacing w:lineRule="auto" w:line="240" w:after="0"/>
        <w:rPr>
          <w:rStyle w:val="966"/>
          <w:shd w:val="clear" w:fill="FFFFFF" w:color="auto"/>
        </w:rPr>
      </w:pPr>
      <w:r>
        <w:rPr>
          <w:rFonts w:ascii="Times New Roman" w:hAnsi="Times New Roman" w:cs="Times New Roman" w:eastAsiaTheme="minorHAnsi"/>
          <w:sz w:val="28"/>
        </w:rPr>
        <w:t xml:space="preserve">Город Пятигорск - площадка для ежегодного молодёжного форума «Машук», который объединяет молодых специалистов в решении                         их проблем. </w:t>
      </w:r>
      <w:r>
        <w:rPr>
          <w:rFonts w:eastAsiaTheme="minorHAnsi"/>
        </w:rPr>
      </w:r>
    </w:p>
    <w:p>
      <w:pPr>
        <w:ind w:right="-851"/>
        <w:jc w:val="center"/>
        <w:spacing w:after="0"/>
        <w:rPr>
          <w:rStyle w:val="966"/>
          <w:rFonts w:ascii="Times New Roman" w:hAnsi="Times New Roman" w:cs="Times New Roman"/>
          <w:sz w:val="28"/>
          <w:szCs w:val="28"/>
          <w:shd w:val="clear" w:fill="FFFFFF" w:color="auto"/>
        </w:rPr>
      </w:pPr>
      <w:r>
        <w:rPr>
          <w:rStyle w:val="966"/>
          <w:rFonts w:ascii="Times New Roman" w:hAnsi="Times New Roman" w:cs="Times New Roman" w:eastAsiaTheme="minorHAnsi"/>
          <w:sz w:val="28"/>
          <w:szCs w:val="28"/>
          <w:shd w:val="clear" w:fill="FFFFFF" w:color="auto"/>
        </w:rPr>
        <w:t xml:space="preserve">РЕСПУБЛИКА КРЫМ</w:t>
      </w:r>
      <w:r>
        <w:rPr>
          <w:rFonts w:eastAsiaTheme="minorHAnsi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«Сопровождение инвалидов молодого возраста при получении ими </w:t>
      </w:r>
      <w:r>
        <w:rPr>
          <w:rFonts w:ascii="Times New Roman" w:hAnsi="Times New Roman" w:cs="Times New Roman" w:eastAsiaTheme="minorHAnsi"/>
          <w:color w:val="000000"/>
          <w:sz w:val="28"/>
          <w:szCs w:val="28"/>
        </w:rPr>
        <w:t xml:space="preserve">профессионального образования и содействие в последующем трудоустройстве»</w:t>
      </w:r>
      <w:r>
        <w:rPr>
          <w:rFonts w:ascii="Times New Roman" w:hAnsi="Times New Roman" w:cs="Times New Roman" w:eastAsiaTheme="minorHAnsi"/>
          <w:bCs/>
          <w:sz w:val="28"/>
          <w:szCs w:val="28"/>
        </w:rPr>
        <w:t xml:space="preserve"> - в числе подпрограмм Государственной программы труда и занятости населения Республики. Проводятся мероприятия по с</w:t>
      </w:r>
      <w:r>
        <w:rPr>
          <w:rFonts w:ascii="Times New Roman" w:hAnsi="Times New Roman" w:cs="Times New Roman" w:eastAsiaTheme="minorHAnsi"/>
          <w:color w:val="000000"/>
          <w:sz w:val="28"/>
          <w:szCs w:val="28"/>
        </w:rPr>
        <w:t xml:space="preserve">одействию профессиональной интеграции инвалидов молодого возраста, повышению уровня их занятости.</w:t>
      </w:r>
      <w:r>
        <w:rPr>
          <w:rFonts w:eastAsiaTheme="minorHAnsi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eastAsiaTheme="minorHAnsi"/>
          <w:color w:val="000000"/>
          <w:sz w:val="28"/>
          <w:szCs w:val="28"/>
        </w:rPr>
      </w:r>
      <w:r>
        <w:rPr>
          <w:rFonts w:eastAsiaTheme="minorHAnsi"/>
        </w:rPr>
      </w:r>
    </w:p>
    <w:p>
      <w:pPr>
        <w:jc w:val="center"/>
        <w:spacing w:lineRule="auto" w:line="240" w:after="0"/>
        <w:rPr>
          <w:rFonts w:ascii="Times New Roman" w:hAnsi="Times New Roman" w:cs="Times New Roman"/>
          <w:b/>
          <w:sz w:val="28"/>
          <w:szCs w:val="24"/>
          <w:shd w:val="clear" w:fill="FFFFFF" w:color="auto"/>
        </w:rPr>
      </w:pPr>
      <w:r>
        <w:rPr>
          <w:rFonts w:ascii="Times New Roman" w:hAnsi="Times New Roman" w:cs="Times New Roman" w:eastAsiaTheme="minorHAnsi"/>
          <w:b/>
          <w:sz w:val="28"/>
          <w:szCs w:val="24"/>
          <w:shd w:val="clear" w:fill="FFFFFF" w:color="auto"/>
        </w:rPr>
        <w:t xml:space="preserve">Выводы</w:t>
      </w:r>
      <w:r>
        <w:rPr>
          <w:rFonts w:eastAsiaTheme="minorHAnsi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Calibri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Представленные аналитические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материалы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 прежде всего показывают уровень доступности информации о региональных и муниципальных  программах поддержки занятости среди молодёжи.</w:t>
      </w:r>
      <w:r>
        <w:rPr>
          <w:rFonts w:eastAsiaTheme="minorHAnsi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Calibri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Представленные для анализа материалы позволяют сделать вывод                      о стремлении ряда регионов страны (как правило,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 с наибольшим оттоком населения, в первую очередь молодежи) преодолеть стандартные недоработки действующей системы оказания помощи населению                             в трудоустройстве, в том числе путем повышения внимания «молодежному» трудоустройству. </w:t>
      </w:r>
      <w:r>
        <w:rPr>
          <w:rFonts w:eastAsiaTheme="minorHAnsi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Calibr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 xml:space="preserve">Вместе с тем результативность этой работы снижается такими факторами, как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недооцененность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 труда, отсутствие полноценной системы поддержки молодых людей, оказавшихся в трудной жизненной ситуации, актуальность проблемы конкурентоспособности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 молодежи на рынке труда               в условиях ужесточения требований, предъявляемых работодателями                     и, одновременно, роста социально-трудовых притязаний молодых специалистов - выпускников профессиональных образовательных учреждений. </w:t>
      </w:r>
      <w:r>
        <w:rPr>
          <w:rFonts w:eastAsiaTheme="minorHAnsi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Неприемлемо положение дел, когда немалая часть безработных,                    как имеющих, так и не имеющих официальный статус безработного, отказывается от предложения о трудоустройстве из-за низкой заработной платы.</w:t>
      </w:r>
      <w:r>
        <w:rPr>
          <w:rFonts w:eastAsiaTheme="minorHAnsi"/>
        </w:rPr>
      </w:r>
    </w:p>
    <w:p>
      <w:pPr>
        <w:ind w:firstLine="708"/>
        <w:jc w:val="both"/>
        <w:spacing w:lineRule="auto" w:line="240" w:after="0"/>
        <w:rPr>
          <w:rFonts w:ascii="Times New Roman" w:hAnsi="Times New Roman" w:cs="Times New Roman" w:eastAsia="Calibri"/>
          <w:b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Решение задач интеграции молодежи в социальн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о-экономические отношения путем решения вопросов их профессиональной ориентации, формирования эффективных мер содействия трудоустройству,  поддержки молодых специалистов возможно не только через принятие федеральных программ, но и через принятие аналогичны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х программ как минимум                      на уровне субъектов Российской Федерации. Подобные программы должны разрабатываться с учетом мнения социальных партнеров – региональных объединений работодателей и региональных объединений организаций профсоюзов.</w:t>
      </w:r>
      <w:r>
        <w:rPr>
          <w:rFonts w:eastAsiaTheme="minorHAnsi"/>
        </w:rPr>
      </w:r>
    </w:p>
    <w:p>
      <w:r>
        <w:rPr>
          <w:rFonts w:eastAsiaTheme="minorHAnsi"/>
        </w:rPr>
      </w:r>
      <w:r>
        <w:rPr>
          <w:rFonts w:eastAsiaTheme="minorHAnsi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Calibri">
    <w:panose1 w:val="020F0502020204030204"/>
  </w:font>
  <w:font w:name="Cambria">
    <w:panose1 w:val="020206030504050203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009323920"/>
      <w:docPartObj>
        <w:docPartGallery w:val="Page Numbers (Top of Page)"/>
        <w:docPartUnique w:val="true"/>
      </w:docPartObj>
      <w:rPr/>
    </w:sdtPr>
    <w:sdtContent>
      <w:p>
        <w:pPr>
          <w:pStyle w:val="961"/>
          <w:jc w:val="center"/>
        </w:pPr>
        <w:fldSimple w:instr="PAGE \* MERGEFORMAT">
          <w:r>
            <w:t xml:space="preserve">2</w:t>
          </w:r>
        </w:fldSimple>
        <w:r/>
        <w:r/>
      </w:p>
    </w:sdtContent>
  </w:sdt>
  <w:p>
    <w:pPr>
      <w:pStyle w:val="96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0" w:hanging="360"/>
        <w:tabs>
          <w:tab w:val="num" w:pos="78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500" w:hanging="360"/>
        <w:tabs>
          <w:tab w:val="num" w:pos="1500" w:leader="none"/>
        </w:tabs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220" w:hanging="360"/>
        <w:tabs>
          <w:tab w:val="num" w:pos="222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940" w:hanging="360"/>
        <w:tabs>
          <w:tab w:val="num" w:pos="294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60" w:hanging="360"/>
        <w:tabs>
          <w:tab w:val="num" w:pos="3660" w:leader="none"/>
        </w:tabs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80" w:hanging="360"/>
        <w:tabs>
          <w:tab w:val="num" w:pos="438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100" w:hanging="360"/>
        <w:tabs>
          <w:tab w:val="num" w:pos="510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820" w:hanging="360"/>
        <w:tabs>
          <w:tab w:val="num" w:pos="5820" w:leader="none"/>
        </w:tabs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540" w:hanging="360"/>
        <w:tabs>
          <w:tab w:val="num" w:pos="6540" w:leader="none"/>
        </w:tabs>
      </w:pPr>
      <w:rPr>
        <w:rFonts w:ascii="Wingdings" w:hAnsi="Wingdings"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multiLevelType w:val="hybridMultilevel"/>
    <w:lvl w:ilvl="0">
      <w:start w:val="970"/>
      <w:numFmt w:val="bullet"/>
      <w:isLgl w:val="false"/>
      <w:suff w:val="tab"/>
      <w:lvlText w:val="-"/>
      <w:lvlJc w:val="left"/>
      <w:pPr>
        <w:ind w:left="720" w:hanging="360"/>
      </w:pPr>
      <w:rPr>
        <w:rFonts w:ascii="Times New Roman" w:hAnsi="Times New Roman" w:cs="Times New Roman" w:eastAsia="Calibri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  <w:tabs>
          <w:tab w:val="num" w:pos="1287" w:leader="none"/>
        </w:tabs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  <w:tabs>
          <w:tab w:val="num" w:pos="2007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  <w:tabs>
          <w:tab w:val="num" w:pos="2727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  <w:tabs>
          <w:tab w:val="num" w:pos="3447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  <w:tabs>
          <w:tab w:val="num" w:pos="4167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  <w:tabs>
          <w:tab w:val="num" w:pos="4887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  <w:tabs>
          <w:tab w:val="num" w:pos="5607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  <w:tabs>
          <w:tab w:val="num" w:pos="6327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  <w:tabs>
          <w:tab w:val="num" w:pos="7047" w:leader="none"/>
        </w:tabs>
      </w:pPr>
      <w:rPr>
        <w:rFonts w:cs="Times New Roman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03" w:hanging="281"/>
      </w:pPr>
      <w:rPr>
        <w:rFonts w:ascii="Times New Roman" w:hAnsi="Times New Roman" w:cs="Times New Roman" w:eastAsia="Times New Roman" w:hint="default"/>
        <w:spacing w:val="0"/>
        <w:sz w:val="28"/>
        <w:szCs w:val="28"/>
        <w:lang w:val="ru-RU" w:bidi="ar-SA" w:eastAsia="en-US"/>
      </w:rPr>
    </w:lvl>
    <w:lvl w:ilvl="1">
      <w:start w:val="1"/>
      <w:numFmt w:val="bullet"/>
      <w:isLgl w:val="false"/>
      <w:suff w:val="tab"/>
      <w:lvlText w:val="•"/>
      <w:lvlJc w:val="left"/>
      <w:pPr>
        <w:ind w:left="1233" w:hanging="281"/>
      </w:pPr>
      <w:rPr>
        <w:rFonts w:hint="default"/>
        <w:lang w:val="ru-RU" w:bidi="ar-SA" w:eastAsia="en-US"/>
      </w:rPr>
    </w:lvl>
    <w:lvl w:ilvl="2">
      <w:start w:val="1"/>
      <w:numFmt w:val="bullet"/>
      <w:isLgl w:val="false"/>
      <w:suff w:val="tab"/>
      <w:lvlText w:val="•"/>
      <w:lvlJc w:val="left"/>
      <w:pPr>
        <w:ind w:left="1867" w:hanging="281"/>
      </w:pPr>
      <w:rPr>
        <w:rFonts w:hint="default"/>
        <w:lang w:val="ru-RU" w:bidi="ar-SA" w:eastAsia="en-US"/>
      </w:rPr>
    </w:lvl>
    <w:lvl w:ilvl="3">
      <w:start w:val="1"/>
      <w:numFmt w:val="bullet"/>
      <w:isLgl w:val="false"/>
      <w:suff w:val="tab"/>
      <w:lvlText w:val="•"/>
      <w:lvlJc w:val="left"/>
      <w:pPr>
        <w:ind w:left="2501" w:hanging="281"/>
      </w:pPr>
      <w:rPr>
        <w:rFonts w:hint="default"/>
        <w:lang w:val="ru-RU" w:bidi="ar-SA" w:eastAsia="en-US"/>
      </w:rPr>
    </w:lvl>
    <w:lvl w:ilvl="4">
      <w:start w:val="1"/>
      <w:numFmt w:val="bullet"/>
      <w:isLgl w:val="false"/>
      <w:suff w:val="tab"/>
      <w:lvlText w:val="•"/>
      <w:lvlJc w:val="left"/>
      <w:pPr>
        <w:ind w:left="3134" w:hanging="281"/>
      </w:pPr>
      <w:rPr>
        <w:rFonts w:hint="default"/>
        <w:lang w:val="ru-RU" w:bidi="ar-SA" w:eastAsia="en-US"/>
      </w:rPr>
    </w:lvl>
    <w:lvl w:ilvl="5">
      <w:start w:val="1"/>
      <w:numFmt w:val="bullet"/>
      <w:isLgl w:val="false"/>
      <w:suff w:val="tab"/>
      <w:lvlText w:val="•"/>
      <w:lvlJc w:val="left"/>
      <w:pPr>
        <w:ind w:left="3768" w:hanging="281"/>
      </w:pPr>
      <w:rPr>
        <w:rFonts w:hint="default"/>
        <w:lang w:val="ru-RU" w:bidi="ar-SA" w:eastAsia="en-US"/>
      </w:rPr>
    </w:lvl>
    <w:lvl w:ilvl="6">
      <w:start w:val="1"/>
      <w:numFmt w:val="bullet"/>
      <w:isLgl w:val="false"/>
      <w:suff w:val="tab"/>
      <w:lvlText w:val="•"/>
      <w:lvlJc w:val="left"/>
      <w:pPr>
        <w:ind w:left="4402" w:hanging="281"/>
      </w:pPr>
      <w:rPr>
        <w:rFonts w:hint="default"/>
        <w:lang w:val="ru-RU" w:bidi="ar-SA" w:eastAsia="en-US"/>
      </w:rPr>
    </w:lvl>
    <w:lvl w:ilvl="7">
      <w:start w:val="1"/>
      <w:numFmt w:val="bullet"/>
      <w:isLgl w:val="false"/>
      <w:suff w:val="tab"/>
      <w:lvlText w:val="•"/>
      <w:lvlJc w:val="left"/>
      <w:pPr>
        <w:ind w:left="5035" w:hanging="281"/>
      </w:pPr>
      <w:rPr>
        <w:rFonts w:hint="default"/>
        <w:lang w:val="ru-RU" w:bidi="ar-SA" w:eastAsia="en-US"/>
      </w:rPr>
    </w:lvl>
    <w:lvl w:ilvl="8">
      <w:start w:val="1"/>
      <w:numFmt w:val="bullet"/>
      <w:isLgl w:val="false"/>
      <w:suff w:val="tab"/>
      <w:lvlText w:val="•"/>
      <w:lvlJc w:val="left"/>
      <w:pPr>
        <w:ind w:left="5669" w:hanging="281"/>
      </w:pPr>
      <w:rPr>
        <w:rFonts w:hint="default"/>
        <w:lang w:val="ru-RU" w:bidi="ar-SA" w:eastAsia="en-U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multiLevelType w:val="hybridMultilevel"/>
    <w:lvl w:ilvl="0">
      <w:start w:val="1"/>
      <w:numFmt w:val="bullet"/>
      <w:isLgl w:val="false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15">
    <w:multiLevelType w:val="hybridMultilevel"/>
    <w:lvl w:ilvl="0">
      <w:start w:val="1"/>
      <w:numFmt w:val="bullet"/>
      <w:pStyle w:val="951"/>
      <w:isLgl w:val="false"/>
      <w:suff w:val="tab"/>
      <w:lvlText w:val=""/>
      <w:lvlJc w:val="left"/>
      <w:pPr>
        <w:ind w:left="614" w:hanging="254"/>
        <w:tabs>
          <w:tab w:val="num" w:pos="614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multiLevelType w:val="hybridMultilevel"/>
    <w:lvl w:ilvl="0">
      <w:start w:val="1"/>
      <w:numFmt w:val="bullet"/>
      <w:pStyle w:val="955"/>
      <w:isLgl w:val="false"/>
      <w:suff w:val="tab"/>
      <w:lvlText w:val=""/>
      <w:lvlJc w:val="left"/>
      <w:pPr>
        <w:ind w:left="1928" w:hanging="397"/>
        <w:tabs>
          <w:tab w:val="num" w:pos="1928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pStyle w:val="949"/>
      <w:isLgl w:val="false"/>
      <w:suff w:val="tab"/>
      <w:lvlText w:val="%1."/>
      <w:lvlJc w:val="left"/>
      <w:pPr>
        <w:ind w:left="0" w:firstLine="0"/>
        <w:tabs>
          <w:tab w:val="num" w:pos="360" w:leader="none"/>
        </w:tabs>
      </w:pPr>
      <w:rPr>
        <w:rFonts w:hint="default"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52635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78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94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610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36"/>
  </w:num>
  <w:num w:numId="2">
    <w:abstractNumId w:val="19"/>
  </w:num>
  <w:num w:numId="3">
    <w:abstractNumId w:val="27"/>
  </w:num>
  <w:num w:numId="4">
    <w:abstractNumId w:val="0"/>
  </w:num>
  <w:num w:numId="5">
    <w:abstractNumId w:val="14"/>
  </w:num>
  <w:num w:numId="6">
    <w:abstractNumId w:val="17"/>
  </w:num>
  <w:num w:numId="7">
    <w:abstractNumId w:val="38"/>
  </w:num>
  <w:num w:numId="8">
    <w:abstractNumId w:val="18"/>
  </w:num>
  <w:num w:numId="9">
    <w:abstractNumId w:val="33"/>
  </w:num>
  <w:num w:numId="10">
    <w:abstractNumId w:val="32"/>
  </w:num>
  <w:num w:numId="11">
    <w:abstractNumId w:val="39"/>
  </w:num>
  <w:num w:numId="12">
    <w:abstractNumId w:val="20"/>
  </w:num>
  <w:num w:numId="13">
    <w:abstractNumId w:val="12"/>
  </w:num>
  <w:num w:numId="14">
    <w:abstractNumId w:val="31"/>
  </w:num>
  <w:num w:numId="15">
    <w:abstractNumId w:val="34"/>
  </w:num>
  <w:num w:numId="16">
    <w:abstractNumId w:val="8"/>
  </w:num>
  <w:num w:numId="17">
    <w:abstractNumId w:val="23"/>
  </w:num>
  <w:num w:numId="18">
    <w:abstractNumId w:val="25"/>
  </w:num>
  <w:num w:numId="19">
    <w:abstractNumId w:val="2"/>
  </w:num>
  <w:num w:numId="20">
    <w:abstractNumId w:val="11"/>
  </w:num>
  <w:num w:numId="21">
    <w:abstractNumId w:val="16"/>
  </w:num>
  <w:num w:numId="22">
    <w:abstractNumId w:val="5"/>
  </w:num>
  <w:num w:numId="23">
    <w:abstractNumId w:val="9"/>
  </w:num>
  <w:num w:numId="24">
    <w:abstractNumId w:val="10"/>
  </w:num>
  <w:num w:numId="25">
    <w:abstractNumId w:val="30"/>
  </w:num>
  <w:num w:numId="26">
    <w:abstractNumId w:val="13"/>
  </w:num>
  <w:num w:numId="27">
    <w:abstractNumId w:val="1"/>
  </w:num>
  <w:num w:numId="28">
    <w:abstractNumId w:val="24"/>
  </w:num>
  <w:num w:numId="29">
    <w:abstractNumId w:val="15"/>
  </w:num>
  <w:num w:numId="30">
    <w:abstractNumId w:val="21"/>
  </w:num>
  <w:num w:numId="31">
    <w:abstractNumId w:val="24"/>
    <w:lvlOverride w:ilvl="0">
      <w:startOverride w:val="1"/>
    </w:lvlOverride>
  </w:num>
  <w:num w:numId="32">
    <w:abstractNumId w:val="7"/>
  </w:num>
  <w:num w:numId="33">
    <w:abstractNumId w:val="22"/>
  </w:num>
  <w:num w:numId="34">
    <w:abstractNumId w:val="29"/>
  </w:num>
  <w:num w:numId="35">
    <w:abstractNumId w:val="35"/>
  </w:num>
  <w:num w:numId="36">
    <w:abstractNumId w:val="37"/>
  </w:num>
  <w:num w:numId="37">
    <w:abstractNumId w:val="28"/>
  </w:num>
  <w:num w:numId="38">
    <w:abstractNumId w:val="3"/>
  </w:num>
  <w:num w:numId="39">
    <w:abstractNumId w:val="26"/>
  </w:num>
  <w:num w:numId="40">
    <w:abstractNumId w:val="4"/>
  </w:num>
  <w:num w:numId="41">
    <w:abstractNumId w:val="6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 w:hint="default"/>
        <w:sz w:val="28"/>
        <w:szCs w:val="22"/>
        <w:lang w:val="ru-RU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33">
    <w:name w:val="Title Char"/>
    <w:basedOn w:val="738"/>
    <w:link w:val="750"/>
    <w:uiPriority w:val="10"/>
    <w:rPr>
      <w:sz w:val="48"/>
      <w:szCs w:val="48"/>
    </w:rPr>
  </w:style>
  <w:style w:type="character" w:styleId="35">
    <w:name w:val="Subtitle Char"/>
    <w:basedOn w:val="738"/>
    <w:link w:val="752"/>
    <w:uiPriority w:val="11"/>
    <w:rPr>
      <w:sz w:val="24"/>
      <w:szCs w:val="24"/>
    </w:rPr>
  </w:style>
  <w:style w:type="character" w:styleId="37">
    <w:name w:val="Quote Char"/>
    <w:link w:val="754"/>
    <w:uiPriority w:val="29"/>
    <w:rPr>
      <w:i/>
    </w:rPr>
  </w:style>
  <w:style w:type="character" w:styleId="39">
    <w:name w:val="Intense Quote Char"/>
    <w:link w:val="756"/>
    <w:uiPriority w:val="30"/>
    <w:rPr>
      <w:i/>
    </w:rPr>
  </w:style>
  <w:style w:type="character" w:styleId="177">
    <w:name w:val="Endnote Text Char"/>
    <w:link w:val="888"/>
    <w:uiPriority w:val="99"/>
    <w:rPr>
      <w:sz w:val="20"/>
    </w:rPr>
  </w:style>
  <w:style w:type="paragraph" w:styleId="737" w:default="1">
    <w:name w:val="Normal"/>
    <w:qFormat/>
    <w:rPr>
      <w:rFonts w:asciiTheme="minorHAnsi" w:hAnsiTheme="minorHAnsi"/>
      <w:sz w:val="22"/>
    </w:rPr>
  </w:style>
  <w:style w:type="character" w:styleId="738" w:default="1">
    <w:name w:val="Default Paragraph Font"/>
    <w:uiPriority w:val="1"/>
    <w:semiHidden/>
    <w:unhideWhenUsed/>
  </w:style>
  <w:style w:type="table" w:styleId="739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0" w:default="1">
    <w:name w:val="No List"/>
    <w:uiPriority w:val="99"/>
    <w:semiHidden/>
    <w:unhideWhenUsed/>
  </w:style>
  <w:style w:type="character" w:styleId="741" w:customStyle="1">
    <w:name w:val="Heading 1 Char"/>
    <w:basedOn w:val="738"/>
    <w:link w:val="902"/>
    <w:uiPriority w:val="9"/>
    <w:rPr>
      <w:rFonts w:ascii="Arial" w:hAnsi="Arial" w:cs="Arial" w:eastAsia="Arial"/>
      <w:sz w:val="40"/>
      <w:szCs w:val="40"/>
    </w:rPr>
  </w:style>
  <w:style w:type="character" w:styleId="742" w:customStyle="1">
    <w:name w:val="Heading 2 Char"/>
    <w:basedOn w:val="738"/>
    <w:link w:val="903"/>
    <w:uiPriority w:val="9"/>
    <w:rPr>
      <w:rFonts w:ascii="Arial" w:hAnsi="Arial" w:cs="Arial" w:eastAsia="Arial"/>
      <w:sz w:val="34"/>
    </w:rPr>
  </w:style>
  <w:style w:type="character" w:styleId="743" w:customStyle="1">
    <w:name w:val="Heading 3 Char"/>
    <w:basedOn w:val="738"/>
    <w:link w:val="904"/>
    <w:uiPriority w:val="9"/>
    <w:rPr>
      <w:rFonts w:ascii="Arial" w:hAnsi="Arial" w:cs="Arial" w:eastAsia="Arial"/>
      <w:sz w:val="30"/>
      <w:szCs w:val="30"/>
    </w:rPr>
  </w:style>
  <w:style w:type="character" w:styleId="744" w:customStyle="1">
    <w:name w:val="Heading 4 Char"/>
    <w:basedOn w:val="738"/>
    <w:link w:val="905"/>
    <w:uiPriority w:val="9"/>
    <w:rPr>
      <w:rFonts w:ascii="Arial" w:hAnsi="Arial" w:cs="Arial" w:eastAsia="Arial"/>
      <w:b/>
      <w:bCs/>
      <w:sz w:val="26"/>
      <w:szCs w:val="26"/>
    </w:rPr>
  </w:style>
  <w:style w:type="character" w:styleId="745" w:customStyle="1">
    <w:name w:val="Heading 5 Char"/>
    <w:basedOn w:val="738"/>
    <w:link w:val="906"/>
    <w:uiPriority w:val="9"/>
    <w:rPr>
      <w:rFonts w:ascii="Arial" w:hAnsi="Arial" w:cs="Arial" w:eastAsia="Arial"/>
      <w:b/>
      <w:bCs/>
      <w:sz w:val="24"/>
      <w:szCs w:val="24"/>
    </w:rPr>
  </w:style>
  <w:style w:type="character" w:styleId="746" w:customStyle="1">
    <w:name w:val="Heading 6 Char"/>
    <w:basedOn w:val="738"/>
    <w:link w:val="907"/>
    <w:uiPriority w:val="9"/>
    <w:rPr>
      <w:rFonts w:ascii="Arial" w:hAnsi="Arial" w:cs="Arial" w:eastAsia="Arial"/>
      <w:b/>
      <w:bCs/>
      <w:sz w:val="22"/>
      <w:szCs w:val="22"/>
    </w:rPr>
  </w:style>
  <w:style w:type="character" w:styleId="747" w:customStyle="1">
    <w:name w:val="Heading 7 Char"/>
    <w:basedOn w:val="738"/>
    <w:link w:val="908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48" w:customStyle="1">
    <w:name w:val="Heading 8 Char"/>
    <w:basedOn w:val="738"/>
    <w:link w:val="909"/>
    <w:uiPriority w:val="9"/>
    <w:rPr>
      <w:rFonts w:ascii="Arial" w:hAnsi="Arial" w:cs="Arial" w:eastAsia="Arial"/>
      <w:i/>
      <w:iCs/>
      <w:sz w:val="22"/>
      <w:szCs w:val="22"/>
    </w:rPr>
  </w:style>
  <w:style w:type="character" w:styleId="749" w:customStyle="1">
    <w:name w:val="Heading 9 Char"/>
    <w:basedOn w:val="738"/>
    <w:link w:val="910"/>
    <w:uiPriority w:val="9"/>
    <w:rPr>
      <w:rFonts w:ascii="Arial" w:hAnsi="Arial" w:cs="Arial" w:eastAsia="Arial"/>
      <w:i/>
      <w:iCs/>
      <w:sz w:val="21"/>
      <w:szCs w:val="21"/>
    </w:rPr>
  </w:style>
  <w:style w:type="paragraph" w:styleId="750">
    <w:name w:val="Title"/>
    <w:basedOn w:val="737"/>
    <w:next w:val="737"/>
    <w:link w:val="751"/>
    <w:qFormat/>
    <w:uiPriority w:val="10"/>
    <w:rPr>
      <w:sz w:val="48"/>
      <w:szCs w:val="48"/>
    </w:rPr>
    <w:pPr>
      <w:contextualSpacing w:val="true"/>
      <w:spacing w:before="300"/>
    </w:pPr>
  </w:style>
  <w:style w:type="character" w:styleId="751" w:customStyle="1">
    <w:name w:val="Название Знак"/>
    <w:basedOn w:val="738"/>
    <w:link w:val="750"/>
    <w:uiPriority w:val="10"/>
    <w:rPr>
      <w:sz w:val="48"/>
      <w:szCs w:val="48"/>
    </w:rPr>
  </w:style>
  <w:style w:type="paragraph" w:styleId="752">
    <w:name w:val="Subtitle"/>
    <w:basedOn w:val="737"/>
    <w:next w:val="737"/>
    <w:link w:val="753"/>
    <w:qFormat/>
    <w:uiPriority w:val="11"/>
    <w:rPr>
      <w:sz w:val="24"/>
      <w:szCs w:val="24"/>
    </w:rPr>
    <w:pPr>
      <w:spacing w:before="200"/>
    </w:pPr>
  </w:style>
  <w:style w:type="character" w:styleId="753" w:customStyle="1">
    <w:name w:val="Подзаголовок Знак"/>
    <w:basedOn w:val="738"/>
    <w:link w:val="752"/>
    <w:uiPriority w:val="11"/>
    <w:rPr>
      <w:sz w:val="24"/>
      <w:szCs w:val="24"/>
    </w:rPr>
  </w:style>
  <w:style w:type="paragraph" w:styleId="754">
    <w:name w:val="Quote"/>
    <w:basedOn w:val="737"/>
    <w:next w:val="737"/>
    <w:link w:val="755"/>
    <w:qFormat/>
    <w:uiPriority w:val="29"/>
    <w:rPr>
      <w:i/>
    </w:rPr>
    <w:pPr>
      <w:ind w:left="720" w:right="720"/>
    </w:pPr>
  </w:style>
  <w:style w:type="character" w:styleId="755" w:customStyle="1">
    <w:name w:val="Цитата 2 Знак"/>
    <w:link w:val="754"/>
    <w:uiPriority w:val="29"/>
    <w:rPr>
      <w:i/>
    </w:rPr>
  </w:style>
  <w:style w:type="paragraph" w:styleId="756">
    <w:name w:val="Intense Quote"/>
    <w:basedOn w:val="737"/>
    <w:next w:val="737"/>
    <w:link w:val="757"/>
    <w:qFormat/>
    <w:uiPriority w:val="30"/>
    <w:rPr>
      <w:i/>
    </w:rPr>
    <w:pPr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57" w:customStyle="1">
    <w:name w:val="Выделенная цитата Знак"/>
    <w:link w:val="756"/>
    <w:uiPriority w:val="30"/>
    <w:rPr>
      <w:i/>
    </w:rPr>
  </w:style>
  <w:style w:type="character" w:styleId="758" w:customStyle="1">
    <w:name w:val="Header Char"/>
    <w:basedOn w:val="738"/>
    <w:link w:val="961"/>
    <w:uiPriority w:val="99"/>
  </w:style>
  <w:style w:type="character" w:styleId="759" w:customStyle="1">
    <w:name w:val="Footer Char"/>
    <w:basedOn w:val="738"/>
    <w:link w:val="963"/>
    <w:uiPriority w:val="99"/>
  </w:style>
  <w:style w:type="paragraph" w:styleId="760" w:customStyle="1">
    <w:name w:val="Caption"/>
    <w:basedOn w:val="737"/>
    <w:next w:val="737"/>
    <w:qFormat/>
    <w:uiPriority w:val="35"/>
    <w:semiHidden/>
    <w:unhideWhenUsed/>
    <w:rPr>
      <w:b/>
      <w:bCs/>
      <w:color w:val="4F81BD" w:themeColor="accent1"/>
      <w:sz w:val="18"/>
      <w:szCs w:val="18"/>
    </w:rPr>
  </w:style>
  <w:style w:type="character" w:styleId="761" w:customStyle="1">
    <w:name w:val="Caption Char"/>
    <w:link w:val="963"/>
    <w:uiPriority w:val="99"/>
  </w:style>
  <w:style w:type="table" w:styleId="762" w:customStyle="1">
    <w:name w:val="Table Grid Light"/>
    <w:basedOn w:val="739"/>
    <w:uiPriority w:val="59"/>
    <w:pPr>
      <w:spacing w:lineRule="auto" w:line="240" w:after="0"/>
    </w:pPr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3" w:customStyle="1">
    <w:name w:val="Plain Table 1"/>
    <w:basedOn w:val="739"/>
    <w:uiPriority w:val="59"/>
    <w:pPr>
      <w:spacing w:lineRule="auto" w:line="240" w:after="0"/>
    </w:pPr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F2F2F2" w:themeFill="text1" w:themeFillTint="00" w:themeColor="text1" w:themeTint="00"/>
      </w:tcPr>
    </w:tblStylePr>
    <w:tblStylePr w:type="band1Vert">
      <w:tcPr>
        <w:shd w:val="clear" w:color="F2F2F2" w:fill="F2F2F2" w:themeFill="text1" w:themeFillTint="00" w:themeColor="text1" w:theme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4" w:customStyle="1">
    <w:name w:val="Plain Table 2"/>
    <w:basedOn w:val="739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5" w:customStyle="1">
    <w:name w:val="Plain Table 3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F2F2F2" w:themeFill="text1" w:themeFillTint="00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 w:themeFill="text1" w:themeFillTint="00" w:themeColor="text1" w:themeTint="00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6" w:customStyle="1">
    <w:name w:val="Plain Table 4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F2F2F2" w:themeFill="text1" w:themeFillTint="00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 w:themeFill="text1" w:themeFillTint="00" w:themeColor="text1" w:theme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Plain Table 5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F2F2F2" w:themeFill="text1" w:themeFillTint="00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 w:themeFill="text1" w:themeFillTint="00" w:themeColor="text1" w:theme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68" w:customStyle="1">
    <w:name w:val="Grid Table 1 Light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Grid Table 1 Light - Accent 1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Grid Table 1 Light - Accent 2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Grid Table 1 Light - Accent 3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Grid Table 1 Light - Accent 4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5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6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2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76" w:customStyle="1">
    <w:name w:val="Grid Table 2 - Accent 1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DAE5F1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DAE5F1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A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5D8A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77" w:customStyle="1">
    <w:name w:val="Grid Table 2 - Accent 2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78" w:customStyle="1">
    <w:name w:val="Grid Table 2 - Accent 3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79" w:customStyle="1">
    <w:name w:val="Grid Table 2 - Accent 4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5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6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3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3 - Accent 1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DAE5F1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DAE5F1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3 - Accent 2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3 - Accent 3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 - Accent 4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5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6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4"/>
    <w:basedOn w:val="73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0" w:customStyle="1">
    <w:name w:val="Grid Table 4 - Accent 1"/>
    <w:basedOn w:val="73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fill="DCE6F2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fill="5D8AC2" w:themeFill="accent1" w:themeFillTint="EA" w:themeColor="accent1" w:themeTint="EA"/>
        <w:tcBorders>
          <w:left w:val="single" w:color="5D8AC2" w:sz="4" w:space="0" w:themeColor="accent1" w:themeTint="EA"/>
          <w:top w:val="single" w:color="5D8AC2" w:sz="4" w:space="0" w:themeColor="accent1" w:themeTint="EA"/>
          <w:right w:val="single" w:color="5D8AC2" w:sz="4" w:space="0" w:themeColor="accent1" w:themeTint="EA"/>
          <w:bottom w:val="single" w:color="5D8A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sz="4" w:space="0" w:themeColor="accent1" w:themeTint="EA"/>
        </w:tcBorders>
      </w:tcPr>
    </w:tblStylePr>
  </w:style>
  <w:style w:type="table" w:styleId="791" w:customStyle="1">
    <w:name w:val="Grid Table 4 - Accent 2"/>
    <w:basedOn w:val="73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V w:val="single" w:color="DB9B9A" w:sz="4" w:space="0" w:themeColor="accent2" w:themeTint="90"/>
        <w:insideH w:val="single" w:color="DB9B9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D99695" w:themeFill="accent2" w:themeFillTint="97" w:themeColor="accent2" w:themeTint="97"/>
        <w:tcBorders>
          <w:left w:val="single" w:color="D99695" w:sz="4" w:space="0" w:themeColor="accent2" w:themeTint="97"/>
          <w:top w:val="single" w:color="D99695" w:sz="4" w:space="0" w:themeColor="accent2" w:themeTint="97"/>
          <w:right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sz="4" w:space="0" w:themeColor="accent2" w:themeTint="97"/>
        </w:tcBorders>
      </w:tcPr>
    </w:tblStylePr>
  </w:style>
  <w:style w:type="table" w:styleId="792" w:customStyle="1">
    <w:name w:val="Grid Table 4 - Accent 3"/>
    <w:basedOn w:val="73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fill="9ABB59" w:themeFill="accent3" w:themeFillTint="FE" w:themeColor="accent3" w:themeTint="FE"/>
        <w:tcBorders>
          <w:left w:val="single" w:color="9ABB59" w:sz="4" w:space="0" w:themeColor="accent3" w:themeTint="FE"/>
          <w:top w:val="single" w:color="9ABB59" w:sz="4" w:space="0" w:themeColor="accent3" w:themeTint="FE"/>
          <w:right w:val="single" w:color="9ABB59" w:sz="4" w:space="0" w:themeColor="accent3" w:themeTint="FE"/>
          <w:bottom w:val="single" w:color="9A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sz="4" w:space="0" w:themeColor="accent3" w:themeTint="FE"/>
        </w:tcBorders>
      </w:tcPr>
    </w:tblStylePr>
  </w:style>
  <w:style w:type="table" w:styleId="793" w:customStyle="1">
    <w:name w:val="Grid Table 4 - Accent 4"/>
    <w:basedOn w:val="73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 w:themeFill="accent4" w:themeFillTint="9A" w:themeColor="accent4" w:themeTint="9A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4" w:customStyle="1">
    <w:name w:val="Grid Table 4 - Accent 5"/>
    <w:basedOn w:val="73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5" w:customStyle="1">
    <w:name w:val="Grid Table 4 - Accent 6"/>
    <w:basedOn w:val="73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796" w:customStyle="1">
    <w:name w:val="Grid Table 5 Dark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BFBFBF" w:fill="BFBFBF" w:themeFill="text1" w:themeFillTint="40" w:themeColor="text1" w:theme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fill="8A8A8A" w:themeFill="text1" w:themeFillTint="75" w:themeColor="text1" w:themeTint="75"/>
      </w:tcPr>
    </w:tblStylePr>
    <w:tblStylePr w:type="band1Vert">
      <w:tcPr>
        <w:shd w:val="clear" w:color="8A8A8A" w:fill="8A8A8A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  <w:tcBorders>
          <w:top w:val="single" w:color="FFFFFF" w:sz="4" w:space="0" w:themeColor="light1"/>
        </w:tcBorders>
      </w:tcPr>
    </w:tblStylePr>
  </w:style>
  <w:style w:type="table" w:styleId="797" w:customStyle="1">
    <w:name w:val="Grid Table 5 Dark- Accent 1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5F1" w:fill="DAE5F1" w:themeFill="accent1" w:themeFillTint="34" w:themeColor="accent1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fill="AEC4E0" w:themeFill="accent1" w:themeFillTint="75" w:themeColor="accent1" w:themeTint="75"/>
      </w:tcPr>
    </w:tblStylePr>
    <w:tblStylePr w:type="band1Vert">
      <w:tcPr>
        <w:shd w:val="clear" w:color="AEC4E0" w:fill="AEC4E0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  <w:tcBorders>
          <w:top w:val="single" w:color="FFFFFF" w:sz="4" w:space="0" w:themeColor="light1"/>
        </w:tcBorders>
      </w:tcPr>
    </w:tblStylePr>
  </w:style>
  <w:style w:type="table" w:styleId="798" w:customStyle="1">
    <w:name w:val="Grid Table 5 Dark - Accent 2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2DCDC" w:fill="F2DCDC" w:themeFill="accent2" w:themeFillTint="32" w:themeColor="accent2" w:theme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fill="E2AEAD" w:themeFill="accent2" w:themeFillTint="75" w:themeColor="accent2" w:themeTint="75"/>
      </w:tcPr>
    </w:tblStylePr>
    <w:tblStylePr w:type="band1Vert">
      <w:tcPr>
        <w:shd w:val="clear" w:color="E2AEAD" w:fill="E2AEAD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  <w:tcBorders>
          <w:top w:val="single" w:color="FFFFFF" w:sz="4" w:space="0" w:themeColor="light1"/>
        </w:tcBorders>
      </w:tcPr>
    </w:tblStylePr>
  </w:style>
  <w:style w:type="table" w:styleId="799" w:customStyle="1">
    <w:name w:val="Grid Table 5 Dark - Accent 3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AF1DC" w:fill="EAF1DC" w:themeFill="accent3" w:themeFillTint="34" w:themeColor="accent3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fill="D0DFB2" w:themeFill="accent3" w:themeFillTint="75" w:themeColor="accent3" w:themeTint="75"/>
      </w:tcPr>
    </w:tblStylePr>
    <w:tblStylePr w:type="band1Vert">
      <w:tcPr>
        <w:shd w:val="clear" w:color="D0DFB2" w:fill="D0DFB2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  <w:tcBorders>
          <w:top w:val="single" w:color="FFFFFF" w:sz="4" w:space="0" w:themeColor="light1"/>
        </w:tcBorders>
      </w:tcPr>
    </w:tblStylePr>
  </w:style>
  <w:style w:type="table" w:styleId="800" w:customStyle="1">
    <w:name w:val="Grid Table 5 Dark- Accent 4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5DFEC" w:fill="E5DFEC" w:themeFill="accent4" w:themeFillTint="34" w:themeColor="accent4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fill="C4B7D4" w:themeFill="accent4" w:themeFillTint="75" w:themeColor="accent4" w:themeTint="75"/>
      </w:tcPr>
    </w:tblStylePr>
    <w:tblStylePr w:type="band1Vert">
      <w:tcPr>
        <w:shd w:val="clear" w:color="C4B7D4" w:fill="C4B7D4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 - Accent 5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EF3" w:fill="DAEEF3" w:themeFill="accent5" w:themeFillTint="34" w:themeColor="accent5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fill="ACD8E4" w:themeFill="accent5" w:themeFillTint="75" w:themeColor="accent5" w:themeTint="75"/>
      </w:tcPr>
    </w:tblStylePr>
    <w:tblStylePr w:type="band1Vert">
      <w:tcPr>
        <w:shd w:val="clear" w:color="ACD8E4" w:fill="ACD8E4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6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DE9D8" w:fill="FDE9D8" w:themeFill="accent6" w:themeFillTint="34" w:themeColor="accent6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fill="FBCEAA" w:themeFill="accent6" w:themeFillTint="75" w:themeColor="accent6" w:themeTint="75"/>
      </w:tcPr>
    </w:tblStylePr>
    <w:tblStylePr w:type="band1Vert">
      <w:tcPr>
        <w:shd w:val="clear" w:color="FBCEAA" w:fill="FBCEAA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6 Colorful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tcPr>
        <w:shd w:val="clear" w:color="CBCBCB" w:fill="CBCBCB" w:themeFill="text1" w:themeFillTint="34" w:themeColor="text1" w:theme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4" w:customStyle="1">
    <w:name w:val="Grid Table 6 Colorful - Accent 1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DAE5F1" w:themeFill="accent1" w:themeFillTint="34" w:themeColor="accent1" w:themeTint="34"/>
      </w:tcPr>
    </w:tblStylePr>
    <w:tblStylePr w:type="band1Vert">
      <w:tcPr>
        <w:shd w:val="clear" w:color="DAE5F1" w:fill="DAE5F1" w:themeFill="accent1" w:themeFillTint="34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05" w:customStyle="1">
    <w:name w:val="Grid Table 6 Colorful - Accent 2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tcPr>
        <w:shd w:val="clear" w:color="F2DCDC" w:fill="F2DCDC" w:themeFill="accent2" w:themeFillTint="32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06" w:customStyle="1">
    <w:name w:val="Grid Table 6 Colorful - Accent 3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ABB59" w:sz="4" w:space="0" w:themeColor="accent3" w:themeTint="FE"/>
        <w:top w:val="single" w:color="9ABB59" w:sz="4" w:space="0" w:themeColor="accent3" w:themeTint="FE"/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tcPr>
        <w:shd w:val="clear" w:color="EAF1DC" w:fill="EAF1DC" w:themeFill="accent3" w:themeFillTint="34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sz="12" w:space="0" w:themeColor="accent3" w:themeTint="FE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07" w:customStyle="1">
    <w:name w:val="Grid Table 6 Colorful - Accent 4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tcPr>
        <w:shd w:val="clear" w:color="E5DFEC" w:fill="E5DFEC" w:themeFill="accent4" w:themeFillTint="34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08" w:customStyle="1">
    <w:name w:val="Grid Table 6 Colorful - Accent 5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tcPr>
        <w:shd w:val="clear" w:color="DAEEF3" w:fill="DAEEF3" w:themeFill="accent5" w:themeFillTint="34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9" w:customStyle="1">
    <w:name w:val="Grid Table 6 Colorful - Accent 6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tcPr>
        <w:shd w:val="clear" w:color="FDE9D8" w:fill="FDE9D8" w:themeFill="accent6" w:themeFillTint="34" w:themeColor="accent6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0" w:customStyle="1">
    <w:name w:val="Grid Table 7 Colorful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fill="F2F2F2" w:themeFill="text1" w:themeFillTint="00" w:themeColor="text1" w:themeTint="00"/>
      </w:tcPr>
    </w:tblStylePr>
    <w:tblStylePr w:type="band1Vert">
      <w:tcPr>
        <w:shd w:val="clear" w:color="F2F2F2" w:fill="F2F2F2" w:themeFill="text1" w:themeFillTint="00" w:themeColor="text1" w:theme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1" w:customStyle="1">
    <w:name w:val="Grid Table 7 Colorful - Accent 1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DAE5F1" w:themeFill="accent1" w:themeFillTint="34" w:themeColor="accent1" w:themeTint="34"/>
      </w:tcPr>
    </w:tblStylePr>
    <w:tblStylePr w:type="band1Vert">
      <w:tcPr>
        <w:shd w:val="clear" w:color="DAE5F1" w:fill="DAE5F1" w:themeFill="accent1" w:themeFillTint="34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2" w:customStyle="1">
    <w:name w:val="Grid Table 7 Colorful - Accent 2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tcPr>
        <w:shd w:val="clear" w:color="F2DCDC" w:fill="F2DCDC" w:themeFill="accent2" w:themeFillTint="32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D996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3" w:customStyle="1">
    <w:name w:val="Grid Table 7 Colorful - Accent 3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tcPr>
        <w:shd w:val="clear" w:color="EAF1DC" w:fill="EAF1DC" w:themeFill="accent3" w:themeFillTint="34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A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4" w:space="0" w:themeColor="accent3" w:themeTint="FE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left w:val="single" w:color="9A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4" w:customStyle="1">
    <w:name w:val="Grid Table 7 Colorful - Accent 4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tcPr>
        <w:shd w:val="clear" w:color="E5DFEC" w:fill="E5DFEC" w:themeFill="accent4" w:themeFillTint="34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5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tcPr>
        <w:shd w:val="clear" w:color="DAEEF3" w:fill="DAEEF3" w:themeFill="accent5" w:themeFillTint="34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6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tcPr>
        <w:shd w:val="clear" w:color="FDE9D8" w:fill="FDE9D8" w:themeFill="accent6" w:themeFillTint="34" w:themeColor="accent6" w:theme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List Table 1 Light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fill="BFBFBF" w:themeFill="text1" w:themeFillTint="40" w:themeColor="text1" w:themeTint="40"/>
      </w:tcPr>
    </w:tblStylePr>
    <w:tblStylePr w:type="band1Vert">
      <w:tcPr>
        <w:shd w:val="clear" w:color="BFBFBF" w:fill="BFBFB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List Table 1 Light - Accent 1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fill="D2DFEE" w:themeFill="accent1" w:themeFillTint="40" w:themeColor="accent1" w:themeTint="40"/>
      </w:tcPr>
    </w:tblStylePr>
    <w:tblStylePr w:type="band1Vert">
      <w:tcPr>
        <w:shd w:val="clear" w:color="D2DFEE" w:fill="D2DFEE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List Table 1 Light - Accent 2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fill="EFD2D2" w:themeFill="accent2" w:themeFillTint="40" w:themeColor="accent2" w:themeTint="40"/>
      </w:tcPr>
    </w:tblStylePr>
    <w:tblStylePr w:type="band1Vert">
      <w:tcPr>
        <w:shd w:val="clear" w:color="EFD2D2" w:fill="EFD2D2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List Table 1 Light - Accent 3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fill="E5EED5" w:themeFill="accent3" w:themeFillTint="40" w:themeColor="accent3" w:themeTint="40"/>
      </w:tcPr>
    </w:tblStylePr>
    <w:tblStylePr w:type="band1Vert">
      <w:tcPr>
        <w:shd w:val="clear" w:color="E5EED5" w:fill="E5EED5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 - Accent 4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fill="DFD8E7" w:themeFill="accent4" w:themeFillTint="40" w:themeColor="accent4" w:themeTint="40"/>
      </w:tcPr>
    </w:tblStylePr>
    <w:tblStylePr w:type="band1Vert">
      <w:tcPr>
        <w:shd w:val="clear" w:color="DFD8E7" w:fill="DFD8E7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5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fill="D1EAF0" w:themeFill="accent5" w:themeFillTint="40" w:themeColor="accent5" w:themeTint="40"/>
      </w:tcPr>
    </w:tblStylePr>
    <w:tblStylePr w:type="band1Vert">
      <w:tcPr>
        <w:shd w:val="clear" w:color="D1EAF0" w:fill="D1EAF0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6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fill="FDE4D0" w:themeFill="accent6" w:themeFillTint="40" w:themeColor="accent6" w:themeTint="40"/>
      </w:tcPr>
    </w:tblStylePr>
    <w:tblStylePr w:type="band1Vert">
      <w:tcPr>
        <w:shd w:val="clear" w:color="FDE4D0" w:fill="FDE4D0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2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825" w:customStyle="1">
    <w:name w:val="List Table 2 - Accent 1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26" w:customStyle="1">
    <w:name w:val="List Table 2 - Accent 2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EFD2D2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EFD2D2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</w:style>
  <w:style w:type="table" w:styleId="827" w:customStyle="1">
    <w:name w:val="List Table 2 - Accent 3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E5EED5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E5EED5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28" w:customStyle="1">
    <w:name w:val="List Table 2 - Accent 4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29" w:customStyle="1">
    <w:name w:val="List Table 2 - Accent 5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0" w:customStyle="1">
    <w:name w:val="List Table 2 - Accent 6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FDE4D0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FDE4D0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1" w:customStyle="1">
    <w:name w:val="List Table 3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3 - Accent 1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3 - Accent 2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sz="4" w:space="0" w:themeColor="accent2" w:themeTint="97"/>
          <w:right w:val="single" w:color="D996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D99695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3 - Accent 3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3D69B" w:sz="4" w:space="0" w:themeColor="accent3" w:themeTint="98"/>
        <w:top w:val="single" w:color="C3D69B" w:sz="4" w:space="0" w:themeColor="accent3" w:themeTint="98"/>
        <w:right w:val="single" w:color="C3D69B" w:sz="4" w:space="0" w:themeColor="accent3" w:themeTint="98"/>
        <w:bottom w:val="single" w:color="C3D69B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sz="4" w:space="0" w:themeColor="accent3" w:themeTint="98"/>
          <w:bottom w:val="single" w:color="C3D69B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sz="4" w:space="0" w:themeColor="accent3" w:themeTint="98"/>
          <w:right w:val="single" w:color="C3D69B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fill="C3D69B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3 - Accent 4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5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6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4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4 - Accent 1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4 - Accent 2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EFD2D2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EFD2D2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4 - Accent 3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E5EED5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E5EED5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 - Accent 4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5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6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FDE4D0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FDE4D0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5 Dark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7F7F7F" w:fill="7F7F7F" w:themeFill="text1" w:themeFillTint="80" w:themeColor="text1" w:theme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fill="7F7F7F" w:themeFill="text1" w:themeFillTint="80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F7F7F" w:fill="7F7F7F" w:themeFill="text1" w:themeFillTint="80" w:themeColor="text1" w:theme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F7F7F" w:fill="7F7F7F" w:themeFill="text1" w:themeFillTint="80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fill="7F7F7F" w:themeFill="text1" w:themeFillTint="80" w:themeColor="text1" w:theme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6" w:customStyle="1">
    <w:name w:val="List Table 5 Dark - Accent 1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  <w:shd w:val="clear" w:color="4F81BD" w:fill="4F81BD" w:themeFill="accent1" w:themeColor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fill="4F81BD" w:themeFill="accent1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 w:themeFill="accent1" w:themeColor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 w:themeFill="accent1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fill="4F81BD" w:themeFill="accent1" w:themeColor="accent1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7" w:customStyle="1">
    <w:name w:val="List Table 5 Dark - Accent 2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99695" w:sz="32" w:space="0" w:themeColor="accent2" w:themeTint="97"/>
        <w:top w:val="single" w:color="D99695" w:sz="32" w:space="0" w:themeColor="accent2" w:themeTint="97"/>
        <w:right w:val="single" w:color="D99695" w:sz="32" w:space="0" w:themeColor="accent2" w:themeTint="97"/>
        <w:bottom w:val="single" w:color="D99695" w:sz="32" w:space="0" w:themeColor="accent2" w:themeTint="97"/>
      </w:tblBorders>
      <w:shd w:val="clear" w:color="D99695" w:fill="D99695" w:themeFill="accent2" w:themeFillTint="97" w:themeColor="accent2" w:theme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fill="D99695" w:themeFill="accent2" w:themeFillTint="97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695" w:fill="D99695" w:themeFill="accent2" w:themeFillTint="97" w:themeColor="accent2" w:theme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695" w:fill="D99695" w:themeFill="accent2" w:themeFillTint="97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fill="D99695" w:themeFill="accent2" w:themeFillTint="97" w:themeColor="accent2" w:themeTint="97"/>
        <w:tcBorders>
          <w:top w:val="single" w:color="D996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6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8" w:customStyle="1">
    <w:name w:val="List Table 5 Dark - Accent 3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3D69B" w:sz="32" w:space="0" w:themeColor="accent3" w:themeTint="98"/>
        <w:top w:val="single" w:color="C3D69B" w:sz="32" w:space="0" w:themeColor="accent3" w:themeTint="98"/>
        <w:right w:val="single" w:color="C3D69B" w:sz="32" w:space="0" w:themeColor="accent3" w:themeTint="98"/>
        <w:bottom w:val="single" w:color="C3D69B" w:sz="32" w:space="0" w:themeColor="accent3" w:themeTint="98"/>
      </w:tblBorders>
      <w:shd w:val="clear" w:color="C3D69B" w:fill="C3D69B" w:themeFill="accent3" w:themeFillTint="98" w:themeColor="accent3" w:theme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fill="C3D69B" w:themeFill="accent3" w:themeFillTint="98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B" w:fill="C3D69B" w:themeFill="accent3" w:themeFillTint="98" w:themeColor="accent3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B" w:fill="C3D69B" w:themeFill="accent3" w:themeFillTint="98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fill="C3D69B" w:themeFill="accent3" w:themeFillTint="98" w:themeColor="accent3" w:themeTint="98"/>
        <w:tcBorders>
          <w:top w:val="single" w:color="C3D69B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B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9" w:customStyle="1">
    <w:name w:val="List Table 5 Dark - Accent 4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  <w:shd w:val="clear" w:color="B2A1C6" w:fill="B2A1C6" w:themeFill="accent4" w:themeFillTint="9A" w:themeColor="accent4" w:theme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fill="B2A1C6" w:themeFill="accent4" w:themeFillTint="9A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 w:themeFill="accent4" w:themeFillTint="9A" w:themeColor="accent4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 w:themeFill="accent4" w:themeFillTint="9A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fill="B2A1C6" w:themeFill="accent4" w:themeFillTint="9A" w:themeColor="accent4" w:themeTint="9A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0" w:customStyle="1">
    <w:name w:val="List Table 5 Dark - Accent 5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  <w:shd w:val="clear" w:color="92CCDC" w:fill="92CCDC" w:themeFill="accent5" w:themeFillTint="9A" w:themeColor="accent5" w:theme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fill="92CCDC" w:themeFill="accent5" w:themeFillTint="9A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 w:themeFill="accent5" w:themeFillTint="9A" w:themeColor="accent5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 w:themeFill="accent5" w:themeFillTint="9A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fill="92CCDC" w:themeFill="accent5" w:themeFillTint="9A" w:themeColor="accent5" w:themeTint="9A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1" w:customStyle="1">
    <w:name w:val="List Table 5 Dark - Accent 6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  <w:shd w:val="clear" w:color="FAC090" w:fill="FAC090" w:themeFill="accent6" w:themeFillTint="98" w:themeColor="accent6" w:theme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fill="FAC090" w:themeFill="accent6" w:themeFillTint="98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 w:themeFill="accent6" w:themeFillTint="98" w:themeColor="accent6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 w:themeFill="accent6" w:themeFillTint="98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fill="FAC090" w:themeFill="accent6" w:themeFillTint="98" w:themeColor="accent6" w:themeTint="98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2" w:customStyle="1">
    <w:name w:val="List Table 6 Colorful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7F7F7F" w:sz="4" w:space="0" w:themeColor="text1" w:themeTint="80"/>
        <w:bottom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tcPr>
        <w:shd w:val="clear" w:color="BFBFBF" w:fill="BFBFBF" w:themeFill="text1" w:themeFillTint="40" w:themeColor="text1" w:theme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853" w:customStyle="1">
    <w:name w:val="List Table 6 Colorful - Accent 1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4F81BD" w:sz="4" w:space="0" w:themeColor="accent1"/>
        <w:bottom w:val="single" w:color="4F81BD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D2DFEE" w:themeFill="accent1" w:themeFillTint="40" w:themeColor="accent1" w:themeTint="40"/>
      </w:tcPr>
    </w:tblStylePr>
    <w:tblStylePr w:type="band1Vert">
      <w:tcPr>
        <w:shd w:val="clear" w:color="D2DFEE" w:fill="D2DFEE" w:themeFill="accent1" w:themeFillTint="40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sz="4" w:space="0" w:themeColor="accent1"/>
        </w:tcBorders>
      </w:tcPr>
    </w:tblStylePr>
  </w:style>
  <w:style w:type="table" w:styleId="854" w:customStyle="1">
    <w:name w:val="List Table 6 Colorful - Accent 2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D99695" w:sz="4" w:space="0" w:themeColor="accent2" w:themeTint="97"/>
        <w:bottom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EFD2D2" w:themeFill="accent2" w:themeFillTint="40" w:themeColor="accent2" w:themeTint="40"/>
      </w:tcPr>
    </w:tblStylePr>
    <w:tblStylePr w:type="band1Vert">
      <w:tcPr>
        <w:shd w:val="clear" w:color="EFD2D2" w:fill="EFD2D2" w:themeFill="accent2" w:themeFillTint="40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4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sz="4" w:space="0" w:themeColor="accent2" w:themeTint="97"/>
        </w:tcBorders>
      </w:tcPr>
    </w:tblStylePr>
  </w:style>
  <w:style w:type="table" w:styleId="855" w:customStyle="1">
    <w:name w:val="List Table 6 Colorful - Accent 3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C3D69B" w:sz="4" w:space="0" w:themeColor="accent3" w:themeTint="98"/>
        <w:bottom w:val="single" w:color="C3D69B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E5EED5" w:themeFill="accent3" w:themeFillTint="40" w:themeColor="accent3" w:themeTint="40"/>
      </w:tcPr>
    </w:tblStylePr>
    <w:tblStylePr w:type="band1Vert">
      <w:tcPr>
        <w:shd w:val="clear" w:color="E5EED5" w:fill="E5EED5" w:themeFill="accent3" w:themeFillTint="40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sz="4" w:space="0" w:themeColor="accent3" w:themeTint="98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sz="4" w:space="0" w:themeColor="accent3" w:themeTint="98"/>
        </w:tcBorders>
      </w:tcPr>
    </w:tblStylePr>
  </w:style>
  <w:style w:type="table" w:styleId="856" w:customStyle="1">
    <w:name w:val="List Table 6 Colorful - Accent 4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B2A1C6" w:sz="4" w:space="0" w:themeColor="accent4" w:themeTint="9A"/>
        <w:bottom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DFD8E7" w:themeFill="accent4" w:themeFillTint="40" w:themeColor="accent4" w:themeTint="40"/>
      </w:tcPr>
    </w:tblStylePr>
    <w:tblStylePr w:type="band1Vert">
      <w:tcPr>
        <w:shd w:val="clear" w:color="DFD8E7" w:fill="DFD8E7" w:themeFill="accent4" w:themeFillTint="40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sz="4" w:space="0" w:themeColor="accent4" w:themeTint="9A"/>
        </w:tcBorders>
      </w:tcPr>
    </w:tblStylePr>
  </w:style>
  <w:style w:type="table" w:styleId="857" w:customStyle="1">
    <w:name w:val="List Table 6 Colorful - Accent 5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92CCDC" w:sz="4" w:space="0" w:themeColor="accent5" w:themeTint="9A"/>
        <w:bottom w:val="single" w:color="92CCDC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D1EAF0" w:themeFill="accent5" w:themeFillTint="40" w:themeColor="accent5" w:themeTint="40"/>
      </w:tcPr>
    </w:tblStylePr>
    <w:tblStylePr w:type="band1Vert">
      <w:tcPr>
        <w:shd w:val="clear" w:color="D1EAF0" w:fill="D1EAF0" w:themeFill="accent5" w:themeFillTint="40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sz="4" w:space="0" w:themeColor="accent5" w:themeTint="9A"/>
        </w:tcBorders>
      </w:tcPr>
    </w:tblStylePr>
  </w:style>
  <w:style w:type="table" w:styleId="858" w:customStyle="1">
    <w:name w:val="List Table 6 Colorful - Accent 6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FAC090" w:sz="4" w:space="0" w:themeColor="accent6" w:themeTint="98"/>
        <w:bottom w:val="single" w:color="FAC090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FDE4D0" w:themeFill="accent6" w:themeFillTint="40" w:themeColor="accent6" w:themeTint="40"/>
      </w:tcPr>
    </w:tblStylePr>
    <w:tblStylePr w:type="band1Vert">
      <w:tcPr>
        <w:shd w:val="clear" w:color="FDE4D0" w:fill="FDE4D0" w:themeFill="accent6" w:themeFillTint="40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sz="4" w:space="0" w:themeColor="accent6" w:themeTint="98"/>
        </w:tcBorders>
      </w:tcPr>
    </w:tblStylePr>
  </w:style>
  <w:style w:type="table" w:styleId="859" w:customStyle="1">
    <w:name w:val="List Table 7 Colorful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tcPr>
        <w:shd w:val="clear" w:color="BFBFBF" w:fill="BFBFBF" w:themeFill="text1" w:themeFillTint="40" w:themeColor="text1" w:theme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0" w:customStyle="1">
    <w:name w:val="List Table 7 Colorful - Accent 1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4F81BD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D2DFEE" w:themeFill="accent1" w:themeFillTint="40" w:themeColor="accent1" w:themeTint="40"/>
      </w:tcPr>
    </w:tblStylePr>
    <w:tblStylePr w:type="band1Vert">
      <w:tcPr>
        <w:shd w:val="clear" w:color="D2DFEE" w:fill="D2DFEE" w:themeFill="accent1" w:themeFillTint="40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1" w:customStyle="1">
    <w:name w:val="List Table 7 Colorful - Accent 2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EFD2D2" w:themeFill="accent2" w:themeFillTint="40" w:themeColor="accent2" w:themeTint="40"/>
      </w:tcPr>
    </w:tblStylePr>
    <w:tblStylePr w:type="band1Vert">
      <w:tcPr>
        <w:shd w:val="clear" w:color="EFD2D2" w:fill="EFD2D2" w:themeFill="accent2" w:themeFillTint="40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D996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2" w:customStyle="1">
    <w:name w:val="List Table 7 Colorful - Accent 3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C3D69B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E5EED5" w:themeFill="accent3" w:themeFillTint="40" w:themeColor="accent3" w:themeTint="40"/>
      </w:tcPr>
    </w:tblStylePr>
    <w:tblStylePr w:type="band1Vert">
      <w:tcPr>
        <w:shd w:val="clear" w:color="E5EED5" w:fill="E5EED5" w:themeFill="accent3" w:themeFillTint="40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C3D69B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B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left w:val="single" w:color="C3D69B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C3D69B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3" w:customStyle="1">
    <w:name w:val="List Table 7 Colorful - Accent 4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DFD8E7" w:themeFill="accent4" w:themeFillTint="40" w:themeColor="accent4" w:themeTint="40"/>
      </w:tcPr>
    </w:tblStylePr>
    <w:tblStylePr w:type="band1Vert">
      <w:tcPr>
        <w:shd w:val="clear" w:color="DFD8E7" w:fill="DFD8E7" w:themeFill="accent4" w:themeFillTint="40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5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92CCDC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D1EAF0" w:themeFill="accent5" w:themeFillTint="40" w:themeColor="accent5" w:themeTint="40"/>
      </w:tcPr>
    </w:tblStylePr>
    <w:tblStylePr w:type="band1Vert">
      <w:tcPr>
        <w:shd w:val="clear" w:color="D1EAF0" w:fill="D1EAF0" w:themeFill="accent5" w:themeFillTint="40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6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FAC090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FDE4D0" w:themeFill="accent6" w:themeFillTint="40" w:themeColor="accent6" w:themeTint="40"/>
      </w:tcPr>
    </w:tblStylePr>
    <w:tblStylePr w:type="band1Vert">
      <w:tcPr>
        <w:shd w:val="clear" w:color="FDE4D0" w:fill="FDE4D0" w:themeFill="accent6" w:themeFillTint="40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ned - Accent"/>
    <w:basedOn w:val="739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2F2F2" w:themeFill="text1" w:themeFillTint="00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F2F2F2" w:themeFill="text1" w:themeFillTint="00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</w:style>
  <w:style w:type="table" w:styleId="867" w:customStyle="1">
    <w:name w:val="Lined - Accent 1"/>
    <w:basedOn w:val="739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</w:style>
  <w:style w:type="table" w:styleId="868" w:customStyle="1">
    <w:name w:val="Lined - Accent 2"/>
    <w:basedOn w:val="739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</w:style>
  <w:style w:type="table" w:styleId="869" w:customStyle="1">
    <w:name w:val="Lined - Accent 3"/>
    <w:basedOn w:val="739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</w:style>
  <w:style w:type="table" w:styleId="870" w:customStyle="1">
    <w:name w:val="Lined - Accent 4"/>
    <w:basedOn w:val="739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</w:style>
  <w:style w:type="table" w:styleId="871" w:customStyle="1">
    <w:name w:val="Lined - Accent 5"/>
    <w:basedOn w:val="739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</w:style>
  <w:style w:type="table" w:styleId="872" w:customStyle="1">
    <w:name w:val="Lined - Accent 6"/>
    <w:basedOn w:val="739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</w:style>
  <w:style w:type="table" w:styleId="873" w:customStyle="1">
    <w:name w:val="Bordered &amp; Lined - Accent"/>
    <w:basedOn w:val="739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2F2F2" w:themeFill="text1" w:themeFillTint="00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F2F2F2" w:themeFill="text1" w:themeFillTint="00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</w:style>
  <w:style w:type="table" w:styleId="874" w:customStyle="1">
    <w:name w:val="Bordered &amp; Lined - Accent 1"/>
    <w:basedOn w:val="739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2A4A71" w:sz="4" w:space="0" w:themeColor="accent1" w:themeShade="95"/>
        <w:top w:val="single" w:color="2A4A71" w:sz="4" w:space="0" w:themeColor="accent1" w:themeShade="95"/>
        <w:right w:val="single" w:color="2A4A71" w:sz="4" w:space="0" w:themeColor="accent1" w:themeShade="95"/>
        <w:bottom w:val="single" w:color="2A4A71" w:sz="4" w:space="0" w:themeColor="accent1" w:themeShade="95"/>
        <w:insideV w:val="single" w:color="2A4A71" w:sz="4" w:space="0" w:themeColor="accent1" w:themeShade="95"/>
        <w:insideH w:val="single" w:color="2A4A71" w:sz="4" w:space="0" w:themeColor="accent1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</w:style>
  <w:style w:type="table" w:styleId="875" w:customStyle="1">
    <w:name w:val="Bordered &amp; Lined - Accent 2"/>
    <w:basedOn w:val="739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732A29" w:sz="4" w:space="0" w:themeColor="accent2" w:themeShade="95"/>
        <w:top w:val="single" w:color="732A29" w:sz="4" w:space="0" w:themeColor="accent2" w:themeShade="95"/>
        <w:right w:val="single" w:color="732A29" w:sz="4" w:space="0" w:themeColor="accent2" w:themeShade="95"/>
        <w:bottom w:val="single" w:color="732A29" w:sz="4" w:space="0" w:themeColor="accent2" w:themeShade="95"/>
        <w:insideV w:val="single" w:color="732A29" w:sz="4" w:space="0" w:themeColor="accent2" w:themeShade="95"/>
        <w:insideH w:val="single" w:color="732A29" w:sz="4" w:space="0" w:themeColor="accent2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</w:style>
  <w:style w:type="table" w:styleId="876" w:customStyle="1">
    <w:name w:val="Bordered &amp; Lined - Accent 3"/>
    <w:basedOn w:val="739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5B722E" w:sz="4" w:space="0" w:themeColor="accent3" w:themeShade="95"/>
        <w:top w:val="single" w:color="5B722E" w:sz="4" w:space="0" w:themeColor="accent3" w:themeShade="95"/>
        <w:right w:val="single" w:color="5B722E" w:sz="4" w:space="0" w:themeColor="accent3" w:themeShade="95"/>
        <w:bottom w:val="single" w:color="5B722E" w:sz="4" w:space="0" w:themeColor="accent3" w:themeShade="95"/>
        <w:insideV w:val="single" w:color="5B722E" w:sz="4" w:space="0" w:themeColor="accent3" w:themeShade="95"/>
        <w:insideH w:val="single" w:color="5B722E" w:sz="4" w:space="0" w:themeColor="accent3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</w:style>
  <w:style w:type="table" w:styleId="877" w:customStyle="1">
    <w:name w:val="Bordered &amp; Lined - Accent 4"/>
    <w:basedOn w:val="739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</w:style>
  <w:style w:type="table" w:styleId="878" w:customStyle="1">
    <w:name w:val="Bordered &amp; Lined - Accent 5"/>
    <w:basedOn w:val="739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</w:style>
  <w:style w:type="table" w:styleId="879" w:customStyle="1">
    <w:name w:val="Bordered &amp; Lined - Accent 6"/>
    <w:basedOn w:val="739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</w:style>
  <w:style w:type="table" w:styleId="880" w:customStyle="1">
    <w:name w:val="Bordered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881" w:customStyle="1">
    <w:name w:val="Bordered - Accent 1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2" w:customStyle="1">
    <w:name w:val="Bordered - Accent 2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sz="12" w:space="0" w:themeColor="accent2" w:themeTint="97"/>
        </w:tcBorders>
      </w:tcPr>
    </w:tblStylePr>
  </w:style>
  <w:style w:type="table" w:styleId="883" w:customStyle="1">
    <w:name w:val="Bordered - Accent 3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sz="12" w:space="0" w:themeColor="accent3" w:themeTint="98"/>
        </w:tcBorders>
      </w:tcPr>
    </w:tblStylePr>
  </w:style>
  <w:style w:type="table" w:styleId="884" w:customStyle="1">
    <w:name w:val="Bordered - Accent 4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5" w:customStyle="1">
    <w:name w:val="Bordered - Accent 5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86" w:customStyle="1">
    <w:name w:val="Bordered - Accent 6"/>
    <w:basedOn w:val="73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87" w:customStyle="1">
    <w:name w:val="Footnote Text Char"/>
    <w:link w:val="942"/>
    <w:uiPriority w:val="99"/>
    <w:rPr>
      <w:sz w:val="18"/>
    </w:rPr>
  </w:style>
  <w:style w:type="paragraph" w:styleId="888">
    <w:name w:val="endnote text"/>
    <w:basedOn w:val="737"/>
    <w:link w:val="889"/>
    <w:uiPriority w:val="99"/>
    <w:semiHidden/>
    <w:unhideWhenUsed/>
    <w:rPr>
      <w:sz w:val="20"/>
    </w:rPr>
    <w:pPr>
      <w:spacing w:lineRule="auto" w:line="240" w:after="0"/>
    </w:pPr>
  </w:style>
  <w:style w:type="character" w:styleId="889" w:customStyle="1">
    <w:name w:val="Текст концевой сноски Знак"/>
    <w:link w:val="888"/>
    <w:uiPriority w:val="99"/>
    <w:rPr>
      <w:sz w:val="20"/>
    </w:rPr>
  </w:style>
  <w:style w:type="character" w:styleId="890">
    <w:name w:val="endnote reference"/>
    <w:basedOn w:val="738"/>
    <w:uiPriority w:val="99"/>
    <w:semiHidden/>
    <w:unhideWhenUsed/>
    <w:rPr>
      <w:vertAlign w:val="superscript"/>
    </w:rPr>
  </w:style>
  <w:style w:type="paragraph" w:styleId="891">
    <w:name w:val="toc 1"/>
    <w:basedOn w:val="737"/>
    <w:next w:val="737"/>
    <w:uiPriority w:val="39"/>
    <w:unhideWhenUsed/>
    <w:pPr>
      <w:spacing w:after="57"/>
    </w:pPr>
  </w:style>
  <w:style w:type="paragraph" w:styleId="892">
    <w:name w:val="toc 2"/>
    <w:basedOn w:val="737"/>
    <w:next w:val="737"/>
    <w:uiPriority w:val="39"/>
    <w:unhideWhenUsed/>
    <w:pPr>
      <w:ind w:left="283"/>
      <w:spacing w:after="57"/>
    </w:pPr>
  </w:style>
  <w:style w:type="paragraph" w:styleId="893">
    <w:name w:val="toc 3"/>
    <w:basedOn w:val="737"/>
    <w:next w:val="737"/>
    <w:uiPriority w:val="39"/>
    <w:unhideWhenUsed/>
    <w:pPr>
      <w:ind w:left="567"/>
      <w:spacing w:after="57"/>
    </w:pPr>
  </w:style>
  <w:style w:type="paragraph" w:styleId="894">
    <w:name w:val="toc 4"/>
    <w:basedOn w:val="737"/>
    <w:next w:val="737"/>
    <w:uiPriority w:val="39"/>
    <w:unhideWhenUsed/>
    <w:pPr>
      <w:ind w:left="850"/>
      <w:spacing w:after="57"/>
    </w:pPr>
  </w:style>
  <w:style w:type="paragraph" w:styleId="895">
    <w:name w:val="toc 5"/>
    <w:basedOn w:val="737"/>
    <w:next w:val="737"/>
    <w:uiPriority w:val="39"/>
    <w:unhideWhenUsed/>
    <w:pPr>
      <w:ind w:left="1134"/>
      <w:spacing w:after="57"/>
    </w:pPr>
  </w:style>
  <w:style w:type="paragraph" w:styleId="896">
    <w:name w:val="toc 6"/>
    <w:basedOn w:val="737"/>
    <w:next w:val="737"/>
    <w:uiPriority w:val="39"/>
    <w:unhideWhenUsed/>
    <w:pPr>
      <w:ind w:left="1417"/>
      <w:spacing w:after="57"/>
    </w:pPr>
  </w:style>
  <w:style w:type="paragraph" w:styleId="897">
    <w:name w:val="toc 7"/>
    <w:basedOn w:val="737"/>
    <w:next w:val="737"/>
    <w:uiPriority w:val="39"/>
    <w:unhideWhenUsed/>
    <w:pPr>
      <w:ind w:left="1701"/>
      <w:spacing w:after="57"/>
    </w:pPr>
  </w:style>
  <w:style w:type="paragraph" w:styleId="898">
    <w:name w:val="toc 8"/>
    <w:basedOn w:val="737"/>
    <w:next w:val="737"/>
    <w:uiPriority w:val="39"/>
    <w:unhideWhenUsed/>
    <w:pPr>
      <w:ind w:left="1984"/>
      <w:spacing w:after="57"/>
    </w:pPr>
  </w:style>
  <w:style w:type="paragraph" w:styleId="899">
    <w:name w:val="toc 9"/>
    <w:basedOn w:val="737"/>
    <w:next w:val="737"/>
    <w:uiPriority w:val="39"/>
    <w:unhideWhenUsed/>
    <w:pPr>
      <w:ind w:left="2268"/>
      <w:spacing w:after="57"/>
    </w:pPr>
  </w:style>
  <w:style w:type="paragraph" w:styleId="900">
    <w:name w:val="TOC Heading"/>
    <w:uiPriority w:val="39"/>
    <w:unhideWhenUsed/>
  </w:style>
  <w:style w:type="paragraph" w:styleId="901">
    <w:name w:val="table of figures"/>
    <w:basedOn w:val="737"/>
    <w:next w:val="737"/>
    <w:uiPriority w:val="99"/>
    <w:unhideWhenUsed/>
    <w:pPr>
      <w:spacing w:after="0"/>
    </w:pPr>
  </w:style>
  <w:style w:type="paragraph" w:styleId="902" w:customStyle="1">
    <w:name w:val="Heading 1"/>
    <w:basedOn w:val="737"/>
    <w:next w:val="737"/>
    <w:link w:val="911"/>
    <w:qFormat/>
    <w:rPr>
      <w:rFonts w:ascii="Times New Roman" w:hAnsi="Times New Roman" w:cs="Times New Roman" w:eastAsia="Times New Roman"/>
      <w:sz w:val="28"/>
      <w:szCs w:val="24"/>
      <w:lang w:eastAsia="ru-RU"/>
    </w:rPr>
    <w:pPr>
      <w:keepNext/>
      <w:spacing w:lineRule="auto" w:line="240" w:after="0"/>
      <w:outlineLvl w:val="0"/>
    </w:pPr>
  </w:style>
  <w:style w:type="paragraph" w:styleId="903" w:customStyle="1">
    <w:name w:val="Heading 2"/>
    <w:basedOn w:val="737"/>
    <w:next w:val="737"/>
    <w:link w:val="912"/>
    <w:qFormat/>
    <w:unhideWhenUsed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  <w:pPr>
      <w:keepLines/>
      <w:keepNext/>
      <w:spacing w:after="0" w:before="200"/>
      <w:outlineLvl w:val="1"/>
    </w:pPr>
  </w:style>
  <w:style w:type="paragraph" w:styleId="904" w:customStyle="1">
    <w:name w:val="Heading 3"/>
    <w:basedOn w:val="737"/>
    <w:link w:val="913"/>
    <w:qFormat/>
    <w:rPr>
      <w:rFonts w:ascii="Times New Roman" w:hAnsi="Times New Roman" w:cs="Times New Roman" w:eastAsia="Times New Roman"/>
      <w:sz w:val="24"/>
      <w:szCs w:val="20"/>
      <w:lang w:eastAsia="ru-RU"/>
    </w:rPr>
    <w:pPr>
      <w:ind w:left="1816" w:hanging="681"/>
      <w:jc w:val="both"/>
      <w:spacing w:lineRule="auto" w:line="240" w:after="0" w:before="60"/>
      <w:widowControl w:val="off"/>
      <w:tabs>
        <w:tab w:val="num" w:pos="1816" w:leader="none"/>
      </w:tabs>
      <w:outlineLvl w:val="2"/>
    </w:pPr>
  </w:style>
  <w:style w:type="paragraph" w:styleId="905" w:customStyle="1">
    <w:name w:val="Heading 4"/>
    <w:basedOn w:val="737"/>
    <w:next w:val="737"/>
    <w:link w:val="914"/>
    <w:qFormat/>
    <w:uiPriority w:val="9"/>
    <w:semiHidden/>
    <w:unhideWhenUsed/>
    <w:rPr>
      <w:rFonts w:asciiTheme="majorHAnsi" w:hAnsiTheme="majorHAnsi" w:eastAsiaTheme="majorEastAsia" w:cstheme="majorBidi"/>
      <w:b/>
      <w:bCs/>
      <w:i/>
      <w:iCs/>
      <w:color w:val="4F81BD" w:themeColor="accent1"/>
    </w:rPr>
    <w:pPr>
      <w:keepLines/>
      <w:keepNext/>
      <w:spacing w:after="0" w:before="200"/>
      <w:outlineLvl w:val="3"/>
    </w:pPr>
  </w:style>
  <w:style w:type="paragraph" w:styleId="906" w:customStyle="1">
    <w:name w:val="Heading 5"/>
    <w:basedOn w:val="737"/>
    <w:next w:val="737"/>
    <w:link w:val="915"/>
    <w:qFormat/>
    <w:rPr>
      <w:rFonts w:ascii="Times New Roman" w:hAnsi="Times New Roman" w:cs="Times New Roman" w:eastAsia="Times New Roman"/>
      <w:sz w:val="24"/>
      <w:szCs w:val="20"/>
      <w:lang w:eastAsia="ru-RU"/>
    </w:rPr>
    <w:pPr>
      <w:ind w:left="340"/>
      <w:jc w:val="both"/>
      <w:spacing w:lineRule="auto" w:line="240" w:after="0" w:before="60"/>
      <w:widowControl w:val="off"/>
      <w:tabs>
        <w:tab w:val="num" w:pos="340" w:leader="none"/>
      </w:tabs>
      <w:outlineLvl w:val="4"/>
    </w:pPr>
  </w:style>
  <w:style w:type="paragraph" w:styleId="907" w:customStyle="1">
    <w:name w:val="Heading 6"/>
    <w:basedOn w:val="737"/>
    <w:next w:val="737"/>
    <w:link w:val="916"/>
    <w:qFormat/>
    <w:rPr>
      <w:rFonts w:ascii="Times New Roman" w:hAnsi="Times New Roman" w:cs="Times New Roman" w:eastAsia="Times New Roman"/>
      <w:sz w:val="24"/>
      <w:szCs w:val="20"/>
      <w:lang w:eastAsia="ru-RU"/>
    </w:rPr>
    <w:pPr>
      <w:ind w:left="340"/>
      <w:jc w:val="both"/>
      <w:spacing w:lineRule="auto" w:line="240" w:after="0" w:before="60"/>
      <w:widowControl w:val="off"/>
      <w:tabs>
        <w:tab w:val="num" w:pos="340" w:leader="none"/>
      </w:tabs>
      <w:outlineLvl w:val="5"/>
    </w:pPr>
  </w:style>
  <w:style w:type="paragraph" w:styleId="908" w:customStyle="1">
    <w:name w:val="Heading 7"/>
    <w:basedOn w:val="737"/>
    <w:next w:val="737"/>
    <w:link w:val="917"/>
    <w:qFormat/>
    <w:rPr>
      <w:rFonts w:ascii="Times New Roman" w:hAnsi="Times New Roman" w:cs="Times New Roman" w:eastAsia="Times New Roman"/>
      <w:sz w:val="24"/>
      <w:szCs w:val="20"/>
      <w:lang w:eastAsia="ru-RU"/>
    </w:rPr>
    <w:pPr>
      <w:ind w:left="340"/>
      <w:jc w:val="both"/>
      <w:spacing w:lineRule="auto" w:line="240" w:after="0" w:before="60"/>
      <w:widowControl w:val="off"/>
      <w:tabs>
        <w:tab w:val="num" w:pos="340" w:leader="none"/>
      </w:tabs>
      <w:outlineLvl w:val="6"/>
    </w:pPr>
  </w:style>
  <w:style w:type="paragraph" w:styleId="909" w:customStyle="1">
    <w:name w:val="Heading 8"/>
    <w:basedOn w:val="737"/>
    <w:next w:val="737"/>
    <w:link w:val="918"/>
    <w:qFormat/>
    <w:rPr>
      <w:rFonts w:ascii="Times New Roman" w:hAnsi="Times New Roman" w:cs="Times New Roman" w:eastAsia="Times New Roman"/>
      <w:sz w:val="24"/>
      <w:szCs w:val="20"/>
      <w:lang w:eastAsia="ru-RU"/>
    </w:rPr>
    <w:pPr>
      <w:ind w:left="340"/>
      <w:jc w:val="both"/>
      <w:spacing w:lineRule="auto" w:line="240" w:after="0" w:before="60"/>
      <w:widowControl w:val="off"/>
      <w:tabs>
        <w:tab w:val="num" w:pos="340" w:leader="none"/>
      </w:tabs>
      <w:outlineLvl w:val="7"/>
    </w:pPr>
  </w:style>
  <w:style w:type="paragraph" w:styleId="910" w:customStyle="1">
    <w:name w:val="Heading 9"/>
    <w:basedOn w:val="737"/>
    <w:next w:val="737"/>
    <w:link w:val="919"/>
    <w:qFormat/>
    <w:rPr>
      <w:rFonts w:ascii="Times New Roman" w:hAnsi="Times New Roman" w:cs="Times New Roman" w:eastAsia="Times New Roman"/>
      <w:sz w:val="24"/>
      <w:szCs w:val="20"/>
      <w:lang w:eastAsia="ru-RU"/>
    </w:rPr>
    <w:pPr>
      <w:ind w:left="340"/>
      <w:jc w:val="both"/>
      <w:spacing w:lineRule="auto" w:line="240" w:after="0" w:before="60"/>
      <w:widowControl w:val="off"/>
      <w:tabs>
        <w:tab w:val="num" w:pos="340" w:leader="none"/>
      </w:tabs>
      <w:outlineLvl w:val="8"/>
    </w:pPr>
  </w:style>
  <w:style w:type="character" w:styleId="911" w:customStyle="1">
    <w:name w:val="Заголовок 1 Знак"/>
    <w:basedOn w:val="738"/>
    <w:link w:val="902"/>
    <w:rPr>
      <w:rFonts w:cs="Times New Roman" w:eastAsia="Times New Roman"/>
      <w:sz w:val="24"/>
      <w:szCs w:val="24"/>
      <w:lang w:eastAsia="ru-RU"/>
    </w:rPr>
  </w:style>
  <w:style w:type="character" w:styleId="912" w:customStyle="1">
    <w:name w:val="Заголовок 2 Знак"/>
    <w:basedOn w:val="738"/>
    <w:link w:val="903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913" w:customStyle="1">
    <w:name w:val="Заголовок 3 Знак"/>
    <w:basedOn w:val="738"/>
    <w:link w:val="904"/>
    <w:rPr>
      <w:rFonts w:cs="Times New Roman" w:eastAsia="Times New Roman"/>
      <w:sz w:val="24"/>
      <w:szCs w:val="20"/>
      <w:lang w:eastAsia="ru-RU"/>
    </w:rPr>
  </w:style>
  <w:style w:type="character" w:styleId="914" w:customStyle="1">
    <w:name w:val="Заголовок 4 Знак"/>
    <w:basedOn w:val="738"/>
    <w:link w:val="905"/>
    <w:uiPriority w:val="9"/>
    <w:semiHidden/>
    <w:rPr>
      <w:rFonts w:asciiTheme="majorHAnsi" w:hAnsiTheme="majorHAnsi" w:eastAsiaTheme="majorEastAsia" w:cstheme="majorBidi"/>
      <w:b/>
      <w:bCs/>
      <w:i/>
      <w:iCs/>
      <w:color w:val="4F81BD" w:themeColor="accent1"/>
      <w:sz w:val="22"/>
    </w:rPr>
  </w:style>
  <w:style w:type="character" w:styleId="915" w:customStyle="1">
    <w:name w:val="Заголовок 5 Знак"/>
    <w:basedOn w:val="738"/>
    <w:link w:val="906"/>
    <w:rPr>
      <w:rFonts w:cs="Times New Roman" w:eastAsia="Times New Roman"/>
      <w:sz w:val="24"/>
      <w:szCs w:val="20"/>
      <w:lang w:eastAsia="ru-RU"/>
    </w:rPr>
  </w:style>
  <w:style w:type="character" w:styleId="916" w:customStyle="1">
    <w:name w:val="Заголовок 6 Знак"/>
    <w:basedOn w:val="738"/>
    <w:link w:val="907"/>
    <w:rPr>
      <w:rFonts w:cs="Times New Roman" w:eastAsia="Times New Roman"/>
      <w:sz w:val="24"/>
      <w:szCs w:val="20"/>
      <w:lang w:eastAsia="ru-RU"/>
    </w:rPr>
  </w:style>
  <w:style w:type="character" w:styleId="917" w:customStyle="1">
    <w:name w:val="Заголовок 7 Знак"/>
    <w:basedOn w:val="738"/>
    <w:link w:val="908"/>
    <w:rPr>
      <w:rFonts w:cs="Times New Roman" w:eastAsia="Times New Roman"/>
      <w:sz w:val="24"/>
      <w:szCs w:val="20"/>
      <w:lang w:eastAsia="ru-RU"/>
    </w:rPr>
  </w:style>
  <w:style w:type="character" w:styleId="918" w:customStyle="1">
    <w:name w:val="Заголовок 8 Знак"/>
    <w:basedOn w:val="738"/>
    <w:link w:val="909"/>
    <w:rPr>
      <w:rFonts w:cs="Times New Roman" w:eastAsia="Times New Roman"/>
      <w:sz w:val="24"/>
      <w:szCs w:val="20"/>
      <w:lang w:eastAsia="ru-RU"/>
    </w:rPr>
  </w:style>
  <w:style w:type="character" w:styleId="919" w:customStyle="1">
    <w:name w:val="Заголовок 9 Знак"/>
    <w:basedOn w:val="738"/>
    <w:link w:val="910"/>
    <w:rPr>
      <w:rFonts w:cs="Times New Roman" w:eastAsia="Times New Roman"/>
      <w:sz w:val="24"/>
      <w:szCs w:val="20"/>
      <w:lang w:eastAsia="ru-RU"/>
    </w:rPr>
  </w:style>
  <w:style w:type="paragraph" w:styleId="920">
    <w:name w:val="List Paragraph"/>
    <w:basedOn w:val="737"/>
    <w:qFormat/>
    <w:uiPriority w:val="34"/>
    <w:pPr>
      <w:contextualSpacing w:val="true"/>
      <w:ind w:left="720"/>
      <w:spacing w:lineRule="auto" w:line="259" w:after="160"/>
    </w:pPr>
  </w:style>
  <w:style w:type="character" w:styleId="921" w:customStyle="1">
    <w:name w:val="apple-converted-space"/>
    <w:basedOn w:val="738"/>
  </w:style>
  <w:style w:type="character" w:styleId="922">
    <w:name w:val="Hyperlink"/>
    <w:basedOn w:val="738"/>
    <w:uiPriority w:val="99"/>
    <w:unhideWhenUsed/>
    <w:rPr>
      <w:color w:val="0000FF"/>
      <w:u w:val="single"/>
    </w:rPr>
  </w:style>
  <w:style w:type="paragraph" w:styleId="923" w:customStyle="1">
    <w:name w:val="ConsPlusTitlePage"/>
    <w:rPr>
      <w:rFonts w:ascii="Tahoma" w:hAnsi="Tahoma" w:cs="Tahoma" w:eastAsia="Times New Roman"/>
      <w:sz w:val="20"/>
      <w:szCs w:val="20"/>
      <w:lang w:eastAsia="ru-RU"/>
    </w:rPr>
    <w:pPr>
      <w:spacing w:lineRule="auto" w:line="240" w:after="0"/>
      <w:widowControl w:val="off"/>
    </w:pPr>
  </w:style>
  <w:style w:type="character" w:styleId="924" w:customStyle="1">
    <w:name w:val="Font Style62"/>
    <w:rPr>
      <w:rFonts w:ascii="Cambria" w:hAnsi="Cambria" w:cs="Cambria"/>
      <w:b/>
      <w:bCs/>
      <w:sz w:val="16"/>
      <w:szCs w:val="16"/>
    </w:rPr>
  </w:style>
  <w:style w:type="paragraph" w:styleId="925">
    <w:name w:val="Normal (Web)"/>
    <w:basedOn w:val="737"/>
    <w:uiPriority w:val="99"/>
    <w:unhideWhenUsed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character" w:styleId="926">
    <w:name w:val="Strong"/>
    <w:basedOn w:val="738"/>
    <w:qFormat/>
    <w:uiPriority w:val="22"/>
    <w:rPr>
      <w:b/>
      <w:bCs/>
    </w:rPr>
  </w:style>
  <w:style w:type="paragraph" w:styleId="927" w:customStyle="1">
    <w:name w:val="otekstj"/>
    <w:basedOn w:val="737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928" w:customStyle="1">
    <w:name w:val="paragraph"/>
    <w:basedOn w:val="737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929">
    <w:name w:val="Body Text"/>
    <w:basedOn w:val="737"/>
    <w:next w:val="737"/>
    <w:link w:val="930"/>
    <w:rPr>
      <w:rFonts w:ascii="Times New Roman" w:hAnsi="Times New Roman" w:cs="Times New Roman" w:eastAsia="Times New Roman"/>
      <w:sz w:val="24"/>
      <w:szCs w:val="24"/>
      <w:lang w:eastAsia="ru-RU"/>
    </w:rPr>
    <w:pPr>
      <w:jc w:val="both"/>
      <w:spacing w:lineRule="auto" w:line="240" w:after="0"/>
    </w:pPr>
  </w:style>
  <w:style w:type="character" w:styleId="930" w:customStyle="1">
    <w:name w:val="Основной текст Знак"/>
    <w:basedOn w:val="738"/>
    <w:link w:val="929"/>
    <w:rPr>
      <w:rFonts w:cs="Times New Roman" w:eastAsia="Times New Roman"/>
      <w:sz w:val="22"/>
      <w:szCs w:val="24"/>
      <w:lang w:eastAsia="ru-RU"/>
    </w:rPr>
  </w:style>
  <w:style w:type="paragraph" w:styleId="931" w:customStyle="1">
    <w:name w:val="Основной текст 21"/>
    <w:basedOn w:val="737"/>
    <w:rPr>
      <w:rFonts w:ascii="Times New Roman" w:hAnsi="Times New Roman" w:cs="Times New Roman" w:eastAsia="Times New Roman"/>
      <w:b/>
      <w:i/>
      <w:sz w:val="26"/>
      <w:szCs w:val="20"/>
      <w:lang w:eastAsia="ru-RU"/>
    </w:rPr>
    <w:pPr>
      <w:ind w:firstLine="709"/>
      <w:jc w:val="center"/>
      <w:spacing w:lineRule="atLeast" w:line="40" w:after="0"/>
    </w:pPr>
  </w:style>
  <w:style w:type="paragraph" w:styleId="932">
    <w:name w:val="No Spacing"/>
    <w:link w:val="941"/>
    <w:qFormat/>
    <w:uiPriority w:val="99"/>
    <w:rPr>
      <w:rFonts w:asciiTheme="minorHAnsi" w:hAnsiTheme="minorHAnsi"/>
      <w:sz w:val="22"/>
    </w:rPr>
    <w:pPr>
      <w:spacing w:lineRule="auto" w:line="240" w:after="0"/>
    </w:pPr>
  </w:style>
  <w:style w:type="character" w:styleId="933" w:customStyle="1">
    <w:name w:val="Основной текст (2)_"/>
    <w:basedOn w:val="738"/>
    <w:link w:val="934"/>
    <w:rPr>
      <w:rFonts w:cs="Times New Roman" w:eastAsia="Times New Roman"/>
      <w:shd w:val="clear" w:fill="FFFFFF" w:color="auto"/>
    </w:rPr>
  </w:style>
  <w:style w:type="paragraph" w:styleId="934" w:customStyle="1">
    <w:name w:val="Основной текст (2)"/>
    <w:basedOn w:val="737"/>
    <w:link w:val="933"/>
    <w:rPr>
      <w:rFonts w:ascii="Times New Roman" w:hAnsi="Times New Roman" w:cs="Times New Roman" w:eastAsia="Times New Roman"/>
      <w:sz w:val="28"/>
    </w:rPr>
    <w:pPr>
      <w:ind w:hanging="580"/>
      <w:jc w:val="both"/>
      <w:spacing w:lineRule="atLeast" w:line="0" w:after="0"/>
      <w:shd w:val="clear" w:fill="FFFFFF" w:color="auto"/>
      <w:widowControl w:val="off"/>
    </w:pPr>
  </w:style>
  <w:style w:type="paragraph" w:styleId="935" w:customStyle="1">
    <w:name w:val="formattext"/>
    <w:basedOn w:val="737"/>
    <w:rPr>
      <w:rFonts w:ascii="Times New Roman" w:hAnsi="Times New Roman" w:cs="Times New Roman" w:eastAsiaTheme="minorEastAsia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table" w:styleId="936">
    <w:name w:val="Table Grid"/>
    <w:basedOn w:val="739"/>
    <w:uiPriority w:val="59"/>
    <w:rPr>
      <w:rFonts w:asciiTheme="minorHAnsi" w:hAnsiTheme="minorHAnsi"/>
      <w:sz w:val="22"/>
    </w:rPr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37" w:customStyle="1">
    <w:name w:val="headertext"/>
    <w:basedOn w:val="737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table" w:styleId="938" w:customStyle="1">
    <w:name w:val="Table Normal"/>
    <w:qFormat/>
    <w:uiPriority w:val="2"/>
    <w:semiHidden/>
    <w:unhideWhenUsed/>
    <w:rPr>
      <w:rFonts w:asciiTheme="minorHAnsi" w:hAnsiTheme="minorHAnsi"/>
      <w:sz w:val="22"/>
      <w:lang w:val="en-US"/>
    </w:rPr>
    <w:pPr>
      <w:spacing w:lineRule="auto" w:line="240" w:after="0"/>
      <w:widowControl w:val="off"/>
    </w:p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939" w:customStyle="1">
    <w:name w:val="Table Paragraph"/>
    <w:basedOn w:val="737"/>
    <w:qFormat/>
    <w:uiPriority w:val="1"/>
    <w:rPr>
      <w:rFonts w:ascii="Times New Roman" w:hAnsi="Times New Roman" w:cs="Times New Roman" w:eastAsia="Times New Roman"/>
    </w:rPr>
    <w:pPr>
      <w:jc w:val="center"/>
      <w:spacing w:lineRule="auto" w:line="240" w:after="0"/>
      <w:widowControl w:val="off"/>
    </w:pPr>
  </w:style>
  <w:style w:type="character" w:styleId="940" w:customStyle="1">
    <w:name w:val="pagetitle-item"/>
    <w:basedOn w:val="738"/>
  </w:style>
  <w:style w:type="character" w:styleId="941" w:customStyle="1">
    <w:name w:val="Без интервала Знак"/>
    <w:link w:val="932"/>
    <w:uiPriority w:val="99"/>
    <w:rPr>
      <w:rFonts w:asciiTheme="minorHAnsi" w:hAnsiTheme="minorHAnsi"/>
      <w:sz w:val="22"/>
    </w:rPr>
  </w:style>
  <w:style w:type="paragraph" w:styleId="942">
    <w:name w:val="footnote text"/>
    <w:basedOn w:val="737"/>
    <w:link w:val="943"/>
    <w:uiPriority w:val="99"/>
    <w:unhideWhenUsed/>
    <w:rPr>
      <w:rFonts w:ascii="Calibri" w:hAnsi="Calibri" w:cs="Times New Roman" w:eastAsia="Calibri"/>
      <w:sz w:val="20"/>
      <w:szCs w:val="20"/>
    </w:rPr>
    <w:pPr>
      <w:spacing w:lineRule="auto" w:line="240" w:after="0"/>
    </w:pPr>
  </w:style>
  <w:style w:type="character" w:styleId="943" w:customStyle="1">
    <w:name w:val="Текст сноски Знак"/>
    <w:basedOn w:val="738"/>
    <w:link w:val="942"/>
    <w:uiPriority w:val="99"/>
    <w:rPr>
      <w:rFonts w:ascii="Calibri" w:hAnsi="Calibri" w:cs="Times New Roman" w:eastAsia="Calibri"/>
      <w:sz w:val="20"/>
      <w:szCs w:val="20"/>
    </w:rPr>
  </w:style>
  <w:style w:type="character" w:styleId="944">
    <w:name w:val="footnote reference"/>
    <w:uiPriority w:val="99"/>
    <w:unhideWhenUsed/>
    <w:rPr>
      <w:vertAlign w:val="superscript"/>
    </w:rPr>
  </w:style>
  <w:style w:type="paragraph" w:styleId="945">
    <w:name w:val="Balloon Text"/>
    <w:basedOn w:val="737"/>
    <w:link w:val="946"/>
    <w:uiPriority w:val="99"/>
    <w:semiHidden/>
    <w:unhideWhenUsed/>
    <w:rPr>
      <w:rFonts w:ascii="Tahoma" w:hAnsi="Tahoma" w:cs="Tahoma"/>
      <w:sz w:val="16"/>
      <w:szCs w:val="16"/>
    </w:rPr>
    <w:pPr>
      <w:spacing w:lineRule="auto" w:line="240" w:after="0"/>
    </w:pPr>
  </w:style>
  <w:style w:type="character" w:styleId="946" w:customStyle="1">
    <w:name w:val="Текст выноски Знак"/>
    <w:basedOn w:val="738"/>
    <w:link w:val="945"/>
    <w:uiPriority w:val="99"/>
    <w:semiHidden/>
    <w:rPr>
      <w:rFonts w:ascii="Tahoma" w:hAnsi="Tahoma" w:cs="Tahoma"/>
      <w:sz w:val="16"/>
      <w:szCs w:val="16"/>
    </w:rPr>
  </w:style>
  <w:style w:type="paragraph" w:styleId="947" w:customStyle="1">
    <w:name w:val="заг2табл"/>
    <w:basedOn w:val="737"/>
    <w:rPr>
      <w:rFonts w:ascii="Times New Roman" w:hAnsi="Times New Roman" w:cs="Times New Roman" w:eastAsia="Times New Roman"/>
      <w:b/>
      <w:iCs/>
      <w:sz w:val="20"/>
      <w:szCs w:val="20"/>
      <w:lang w:eastAsia="ru-RU"/>
    </w:rPr>
    <w:pPr>
      <w:numPr>
        <w:ilvl w:val="12"/>
      </w:numPr>
      <w:jc w:val="center"/>
      <w:spacing w:lineRule="auto" w:line="240" w:after="0" w:before="60"/>
      <w:widowControl w:val="off"/>
    </w:pPr>
  </w:style>
  <w:style w:type="paragraph" w:styleId="948" w:customStyle="1">
    <w:name w:val="табл колонка3"/>
    <w:basedOn w:val="737"/>
    <w:rPr>
      <w:rFonts w:ascii="Times New Roman" w:hAnsi="Times New Roman" w:cs="Times New Roman" w:eastAsia="Times New Roman"/>
      <w:sz w:val="20"/>
      <w:szCs w:val="20"/>
      <w:lang w:eastAsia="ru-RU"/>
    </w:rPr>
    <w:pPr>
      <w:numPr>
        <w:ilvl w:val="12"/>
      </w:numPr>
      <w:ind w:right="34"/>
      <w:jc w:val="both"/>
      <w:spacing w:lineRule="auto" w:line="240" w:after="0" w:before="60"/>
      <w:widowControl w:val="off"/>
    </w:pPr>
  </w:style>
  <w:style w:type="paragraph" w:styleId="949" w:customStyle="1">
    <w:name w:val="табл колонка 4"/>
    <w:basedOn w:val="737"/>
    <w:rPr>
      <w:rFonts w:ascii="Times New Roman" w:hAnsi="Times New Roman" w:cs="Times New Roman" w:eastAsia="Times New Roman"/>
      <w:sz w:val="20"/>
      <w:szCs w:val="20"/>
      <w:lang w:eastAsia="ru-RU"/>
    </w:rPr>
    <w:pPr>
      <w:numPr>
        <w:numId w:val="28"/>
      </w:numPr>
      <w:ind w:right="34"/>
      <w:jc w:val="center"/>
      <w:spacing w:lineRule="auto" w:line="240" w:after="0" w:before="60"/>
      <w:widowControl w:val="off"/>
    </w:pPr>
  </w:style>
  <w:style w:type="paragraph" w:styleId="950" w:customStyle="1">
    <w:name w:val="Текст 1"/>
    <w:basedOn w:val="903"/>
    <w:link w:val="959"/>
    <w:rPr>
      <w:rFonts w:ascii="Times New Roman" w:hAnsi="Times New Roman" w:cs="Times New Roman" w:eastAsia="Times New Roman"/>
      <w:b w:val="false"/>
      <w:bCs w:val="false"/>
      <w:color w:val="auto"/>
      <w:sz w:val="24"/>
      <w:szCs w:val="20"/>
      <w:lang w:eastAsia="ru-RU"/>
    </w:rPr>
    <w:pPr>
      <w:numPr>
        <w:ilvl w:val="1"/>
      </w:numPr>
      <w:ind w:left="425" w:hanging="425"/>
      <w:jc w:val="both"/>
      <w:keepLines w:val="false"/>
      <w:keepNext w:val="false"/>
      <w:spacing w:lineRule="auto" w:line="240" w:before="60"/>
      <w:widowControl w:val="off"/>
      <w:tabs>
        <w:tab w:val="num" w:pos="426" w:leader="none"/>
        <w:tab w:val="num" w:pos="1248" w:leader="none"/>
      </w:tabs>
    </w:pPr>
  </w:style>
  <w:style w:type="paragraph" w:styleId="951" w:customStyle="1">
    <w:name w:val="Список 1"/>
    <w:basedOn w:val="960"/>
    <w:rPr>
      <w:rFonts w:ascii="Times New Roman" w:hAnsi="Times New Roman" w:cs="Times New Roman" w:eastAsia="Times New Roman"/>
      <w:sz w:val="24"/>
      <w:szCs w:val="20"/>
      <w:lang w:eastAsia="ru-RU"/>
    </w:rPr>
    <w:pPr>
      <w:numPr>
        <w:numId w:val="29"/>
      </w:numPr>
      <w:contextualSpacing w:val="false"/>
      <w:jc w:val="both"/>
      <w:spacing w:lineRule="auto" w:line="240" w:after="0" w:before="60"/>
      <w:widowControl w:val="off"/>
    </w:pPr>
  </w:style>
  <w:style w:type="paragraph" w:styleId="952" w:customStyle="1">
    <w:name w:val="Текст таблица"/>
    <w:basedOn w:val="737"/>
    <w:rPr>
      <w:rFonts w:ascii="Times New Roman" w:hAnsi="Times New Roman" w:cs="Times New Roman" w:eastAsia="Times New Roman"/>
      <w:iCs/>
      <w:sz w:val="20"/>
      <w:szCs w:val="20"/>
      <w:lang w:eastAsia="ru-RU"/>
    </w:rPr>
    <w:pPr>
      <w:numPr>
        <w:ilvl w:val="12"/>
      </w:numPr>
      <w:spacing w:lineRule="auto" w:line="240" w:after="0" w:before="60"/>
    </w:pPr>
  </w:style>
  <w:style w:type="paragraph" w:styleId="953" w:customStyle="1">
    <w:name w:val="Текст 2 Char"/>
    <w:basedOn w:val="904"/>
    <w:link w:val="954"/>
    <w:pPr>
      <w:numPr>
        <w:ilvl w:val="2"/>
      </w:numPr>
      <w:ind w:left="993" w:hanging="567"/>
      <w:tabs>
        <w:tab w:val="num" w:pos="1816" w:leader="none"/>
      </w:tabs>
    </w:pPr>
  </w:style>
  <w:style w:type="character" w:styleId="954" w:customStyle="1">
    <w:name w:val="Текст 2 Char Char"/>
    <w:basedOn w:val="913"/>
    <w:link w:val="953"/>
    <w:rPr>
      <w:rFonts w:cs="Times New Roman" w:eastAsia="Times New Roman"/>
      <w:sz w:val="24"/>
      <w:szCs w:val="20"/>
      <w:lang w:eastAsia="ru-RU"/>
    </w:rPr>
  </w:style>
  <w:style w:type="paragraph" w:styleId="955">
    <w:name w:val="List 2"/>
    <w:basedOn w:val="737"/>
    <w:rPr>
      <w:rFonts w:ascii="Times New Roman" w:hAnsi="Times New Roman" w:cs="Times New Roman" w:eastAsia="Times New Roman"/>
      <w:sz w:val="24"/>
      <w:szCs w:val="20"/>
      <w:lang w:eastAsia="ru-RU"/>
    </w:rPr>
    <w:pPr>
      <w:numPr>
        <w:numId w:val="30"/>
      </w:numPr>
      <w:jc w:val="both"/>
      <w:spacing w:lineRule="auto" w:line="240" w:after="0" w:before="60"/>
      <w:widowControl w:val="off"/>
    </w:pPr>
  </w:style>
  <w:style w:type="paragraph" w:styleId="956" w:customStyle="1">
    <w:name w:val="текст"/>
    <w:basedOn w:val="737"/>
    <w:rPr>
      <w:rFonts w:ascii="Times New Roman" w:hAnsi="Times New Roman" w:cs="Times New Roman" w:eastAsia="Times New Roman"/>
      <w:b/>
      <w:sz w:val="24"/>
      <w:szCs w:val="20"/>
      <w:lang w:eastAsia="ru-RU"/>
    </w:rPr>
    <w:pPr>
      <w:jc w:val="right"/>
      <w:spacing w:lineRule="auto" w:line="240" w:after="60"/>
      <w:widowControl w:val="off"/>
    </w:pPr>
  </w:style>
  <w:style w:type="paragraph" w:styleId="957" w:customStyle="1">
    <w:name w:val="текст резюме"/>
    <w:basedOn w:val="737"/>
    <w:rPr>
      <w:rFonts w:ascii="Times New Roman" w:hAnsi="Times New Roman" w:cs="Times New Roman" w:eastAsia="Times New Roman"/>
      <w:sz w:val="24"/>
      <w:szCs w:val="20"/>
      <w:lang w:eastAsia="ru-RU"/>
    </w:rPr>
    <w:pPr>
      <w:jc w:val="both"/>
      <w:spacing w:lineRule="auto" w:line="240" w:after="0" w:before="60"/>
      <w:widowControl w:val="off"/>
    </w:pPr>
  </w:style>
  <w:style w:type="paragraph" w:styleId="958" w:customStyle="1">
    <w:name w:val="Текст 3"/>
    <w:basedOn w:val="905"/>
    <w:rPr>
      <w:rFonts w:ascii="Times New Roman" w:hAnsi="Times New Roman" w:cs="Times New Roman" w:eastAsia="Times New Roman"/>
      <w:b w:val="false"/>
      <w:bCs w:val="false"/>
      <w:i w:val="false"/>
      <w:iCs w:val="false"/>
      <w:color w:val="auto"/>
      <w:sz w:val="24"/>
      <w:szCs w:val="20"/>
      <w:lang w:eastAsia="ru-RU"/>
    </w:rPr>
    <w:pPr>
      <w:ind w:left="1758" w:hanging="737"/>
      <w:jc w:val="both"/>
      <w:keepLines w:val="false"/>
      <w:keepNext w:val="false"/>
      <w:spacing w:lineRule="auto" w:line="240" w:before="60"/>
      <w:widowControl w:val="off"/>
      <w:tabs>
        <w:tab w:val="num" w:pos="2101" w:leader="none"/>
      </w:tabs>
    </w:pPr>
  </w:style>
  <w:style w:type="character" w:styleId="959" w:customStyle="1">
    <w:name w:val="Текст 1 Знак Знак"/>
    <w:link w:val="950"/>
    <w:rPr>
      <w:rFonts w:cs="Times New Roman" w:eastAsia="Times New Roman"/>
      <w:sz w:val="24"/>
      <w:szCs w:val="20"/>
      <w:lang w:eastAsia="ru-RU"/>
    </w:rPr>
  </w:style>
  <w:style w:type="paragraph" w:styleId="960">
    <w:name w:val="List Bullet"/>
    <w:basedOn w:val="737"/>
    <w:uiPriority w:val="99"/>
    <w:semiHidden/>
    <w:unhideWhenUsed/>
    <w:pPr>
      <w:contextualSpacing w:val="true"/>
      <w:tabs>
        <w:tab w:val="num" w:pos="360" w:leader="none"/>
      </w:tabs>
    </w:pPr>
  </w:style>
  <w:style w:type="paragraph" w:styleId="961" w:customStyle="1">
    <w:name w:val="Header"/>
    <w:basedOn w:val="737"/>
    <w:link w:val="962"/>
    <w:uiPriority w:val="99"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character" w:styleId="962" w:customStyle="1">
    <w:name w:val="Верхний колонтитул Знак"/>
    <w:basedOn w:val="738"/>
    <w:link w:val="961"/>
    <w:uiPriority w:val="99"/>
    <w:rPr>
      <w:rFonts w:asciiTheme="minorHAnsi" w:hAnsiTheme="minorHAnsi"/>
      <w:sz w:val="22"/>
    </w:rPr>
  </w:style>
  <w:style w:type="paragraph" w:styleId="963" w:customStyle="1">
    <w:name w:val="Footer"/>
    <w:basedOn w:val="737"/>
    <w:link w:val="964"/>
    <w:uiPriority w:val="99"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character" w:styleId="964" w:customStyle="1">
    <w:name w:val="Нижний колонтитул Знак"/>
    <w:basedOn w:val="738"/>
    <w:link w:val="963"/>
    <w:uiPriority w:val="99"/>
    <w:rPr>
      <w:rFonts w:asciiTheme="minorHAnsi" w:hAnsiTheme="minorHAnsi"/>
      <w:sz w:val="22"/>
    </w:rPr>
  </w:style>
  <w:style w:type="paragraph" w:styleId="965" w:customStyle="1">
    <w:name w:val="rtejustify"/>
    <w:basedOn w:val="737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character" w:styleId="966" w:customStyle="1">
    <w:name w:val="winner-info__list-item-title"/>
    <w:basedOn w:val="738"/>
  </w:style>
  <w:style w:type="character" w:styleId="967">
    <w:name w:val="FollowedHyperlink"/>
    <w:basedOn w:val="738"/>
    <w:uiPriority w:val="99"/>
    <w:semiHidden/>
    <w:unhideWhenUsed/>
    <w:rPr>
      <w:color w:val="800080" w:themeColor="followedHyperlink"/>
      <w:u w:val="single"/>
    </w:rPr>
  </w:style>
  <w:style w:type="character" w:styleId="968">
    <w:name w:val="annotation reference"/>
    <w:basedOn w:val="738"/>
    <w:uiPriority w:val="99"/>
    <w:semiHidden/>
    <w:unhideWhenUsed/>
    <w:rPr>
      <w:sz w:val="16"/>
      <w:szCs w:val="16"/>
    </w:rPr>
  </w:style>
  <w:style w:type="paragraph" w:styleId="969">
    <w:name w:val="annotation text"/>
    <w:basedOn w:val="737"/>
    <w:link w:val="970"/>
    <w:uiPriority w:val="99"/>
    <w:semiHidden/>
    <w:unhideWhenUsed/>
    <w:rPr>
      <w:sz w:val="20"/>
      <w:szCs w:val="20"/>
    </w:rPr>
    <w:pPr>
      <w:spacing w:lineRule="auto" w:line="240"/>
    </w:pPr>
  </w:style>
  <w:style w:type="character" w:styleId="970" w:customStyle="1">
    <w:name w:val="Текст примечания Знак"/>
    <w:basedOn w:val="738"/>
    <w:link w:val="969"/>
    <w:uiPriority w:val="99"/>
    <w:semiHidden/>
    <w:rPr>
      <w:rFonts w:asciiTheme="minorHAnsi" w:hAnsiTheme="minorHAnsi"/>
      <w:sz w:val="20"/>
      <w:szCs w:val="20"/>
    </w:rPr>
  </w:style>
  <w:style w:type="paragraph" w:styleId="971">
    <w:name w:val="annotation subject"/>
    <w:basedOn w:val="969"/>
    <w:next w:val="969"/>
    <w:link w:val="972"/>
    <w:uiPriority w:val="99"/>
    <w:semiHidden/>
    <w:unhideWhenUsed/>
    <w:rPr>
      <w:b/>
      <w:bCs/>
    </w:rPr>
  </w:style>
  <w:style w:type="character" w:styleId="972" w:customStyle="1">
    <w:name w:val="Тема примечания Знак"/>
    <w:basedOn w:val="970"/>
    <w:link w:val="971"/>
    <w:uiPriority w:val="99"/>
    <w:semiHidden/>
    <w:rPr>
      <w:rFonts w:asciiTheme="minorHAnsi" w:hAnsiTheme="minorHAnsi"/>
      <w:b/>
      <w:bCs/>
      <w:sz w:val="20"/>
      <w:szCs w:val="20"/>
    </w:rPr>
  </w:style>
  <w:style w:type="paragraph" w:styleId="973" w:customStyle="1">
    <w:name w:val="docdata"/>
    <w:basedOn w:val="737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hyperlink" Target="https://ru.wikipedia.org/wiki/%D0%A4%D0%B5%D0%B4%D0%B5%D1%80%D0%B0%D0%BB%D1%8C%D0%BD%D1%8B%D0%B5_%D0%BE%D0%BA%D1%80%D1%83%D0%B3%D0%B0_%D0%A0%D0%BE%D1%81%D1%81%D0%B8%D0%B9%D1%81%D0%BA%D0%BE%D0%B9_%D0%A4%D0%B5%D0%B4%D0%B5%D1%80%D0%B0%D1%86%D0%B8%D0%B8" TargetMode="External"/><Relationship Id="rId13" Type="http://schemas.openxmlformats.org/officeDocument/2006/relationships/hyperlink" Target="https://ru.wikipedia.org/wiki/%D0%A4%D0%B5%D0%B4%D0%B5%D1%80%D0%B0%D0%BB%D1%8C%D0%BD%D1%8B%D0%B5_%D0%BE%D0%BA%D1%80%D1%83%D0%B3%D0%B0_%D0%A0%D0%BE%D1%81%D1%81%D0%B8%D0%B9%D1%81%D0%BA%D0%BE%D0%B9_%D0%A4%D0%B5%D0%B4%D0%B5%D1%80%D0%B0%D1%86%D0%B8%D0%B8" TargetMode="External"/><Relationship Id="rId14" Type="http://schemas.openxmlformats.org/officeDocument/2006/relationships/hyperlink" Target="https://ru.wikipedia.org/wiki/%D0%A4%D0%B5%D0%B4%D0%B5%D1%80%D0%B0%D0%BB%D1%8C%D0%BD%D1%8B%D0%B5_%D0%BE%D0%BA%D1%80%D1%83%D0%B3%D0%B0_%D0%A0%D0%BE%D1%81%D1%81%D0%B8%D0%B9%D1%81%D0%BA%D0%BE%D0%B9_%D0%A4%D0%B5%D0%B4%D0%B5%D1%80%D0%B0%D1%86%D0%B8%D0%B8" TargetMode="External"/><Relationship Id="rId15" Type="http://schemas.openxmlformats.org/officeDocument/2006/relationships/hyperlink" Target="https://ru.wikipedia.org/wiki/%D0%A4%D0%B5%D0%B4%D0%B5%D1%80%D0%B0%D0%BB%D1%8C%D0%BD%D1%8B%D0%B5_%D0%BE%D0%BA%D1%80%D1%83%D0%B3%D0%B0_%D0%A0%D0%BE%D1%81%D1%81%D0%B8%D0%B9%D1%81%D0%BA%D0%BE%D0%B9_%D0%A4%D0%B5%D0%B4%D0%B5%D1%80%D0%B0%D1%86%D0%B8%D0%B8" TargetMode="External"/><Relationship Id="rId16" Type="http://schemas.openxmlformats.org/officeDocument/2006/relationships/hyperlink" Target="http://www.dm-mari.ru/cpoizm/" TargetMode="External"/><Relationship Id="rId17" Type="http://schemas.openxmlformats.org/officeDocument/2006/relationships/hyperlink" Target="https://ru.wikipedia.org/wiki/%D0%A4%D0%B5%D0%B4%D0%B5%D1%80%D0%B0%D0%BB%D1%8C%D0%BD%D1%8B%D0%B5_%D0%BE%D0%BA%D1%80%D1%83%D0%B3%D0%B0_%D0%A0%D0%BE%D1%81%D1%81%D0%B8%D0%B9%D1%81%D0%BA%D0%BE%D0%B9_%D0%A4%D0%B5%D0%B4%D0%B5%D1%80%D0%B0%D1%86%D0%B8%D0%B8" TargetMode="External"/><Relationship Id="rId18" Type="http://schemas.openxmlformats.org/officeDocument/2006/relationships/hyperlink" Target="https://onf.ru/" TargetMode="External"/><Relationship Id="rId19" Type="http://schemas.openxmlformats.org/officeDocument/2006/relationships/hyperlink" Target="https://rsv.ru/" TargetMode="External"/><Relationship Id="rId20" Type="http://schemas.openxmlformats.org/officeDocument/2006/relationships/hyperlink" Target="https://ru.wikipedia.org/wiki/%D0%A4%D0%B5%D0%B4%D0%B5%D1%80%D0%B0%D0%BB%D1%8C%D0%BD%D1%8B%D0%B5_%D0%BE%D0%BA%D1%80%D1%83%D0%B3%D0%B0_%D0%A0%D0%BE%D1%81%D1%81%D0%B8%D0%B9%D1%81%D0%BA%D0%BE%D0%B9_%D0%A4%D0%B5%D0%B4%D0%B5%D1%80%D0%B0%D1%86%D0%B8%D0%B8" TargetMode="External"/><Relationship Id="rId21" Type="http://schemas.openxmlformats.org/officeDocument/2006/relationships/hyperlink" Target="http://mmp38.ru/" TargetMode="External"/><Relationship Id="rId22" Type="http://schemas.openxmlformats.org/officeDocument/2006/relationships/hyperlink" Target="https://ru.wikipedia.org/wiki/%D0%A4%D0%B5%D0%B4%D0%B5%D1%80%D0%B0%D0%BB%D1%8C%D0%BD%D1%8B%D0%B5_%D0%BE%D0%BA%D1%80%D1%83%D0%B3%D0%B0_%D0%A0%D0%BE%D1%81%D1%81%D0%B8%D0%B9%D1%81%D0%BA%D0%BE%D0%B9_%D0%A4%D0%B5%D0%B4%D0%B5%D1%80%D0%B0%D1%86%D0%B8%D0%B8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R7-Office/6.4.2.34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I.A.Efimov</dc:creator>
  <cp:keywords/>
  <dc:description/>
  <cp:lastModifiedBy>Дарья Рыманова</cp:lastModifiedBy>
  <cp:revision>46</cp:revision>
  <dcterms:created xsi:type="dcterms:W3CDTF">2022-02-01T15:14:00Z</dcterms:created>
  <dcterms:modified xsi:type="dcterms:W3CDTF">2022-02-15T14:56:34Z</dcterms:modified>
</cp:coreProperties>
</file>